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EB22">
      <w:pPr>
        <w:spacing w:line="360" w:lineRule="auto"/>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采购编号：SCIT-GN-2025050152</w:t>
      </w:r>
    </w:p>
    <w:p w14:paraId="20666C7A">
      <w:pPr>
        <w:pStyle w:val="17"/>
        <w:rPr>
          <w:color w:val="auto"/>
          <w:highlight w:val="none"/>
        </w:rPr>
      </w:pPr>
    </w:p>
    <w:p w14:paraId="561B661F">
      <w:pPr>
        <w:spacing w:line="360" w:lineRule="auto"/>
        <w:jc w:val="center"/>
        <w:rPr>
          <w:rFonts w:hint="eastAsia" w:ascii="仿宋" w:hAnsi="仿宋" w:eastAsia="仿宋"/>
          <w:b/>
          <w:color w:val="auto"/>
          <w:sz w:val="52"/>
          <w:szCs w:val="52"/>
          <w:highlight w:val="none"/>
          <w:lang w:eastAsia="zh-CN"/>
        </w:rPr>
      </w:pPr>
      <w:r>
        <w:rPr>
          <w:rFonts w:hint="eastAsia" w:ascii="仿宋" w:hAnsi="仿宋" w:eastAsia="仿宋"/>
          <w:b/>
          <w:color w:val="auto"/>
          <w:sz w:val="52"/>
          <w:szCs w:val="52"/>
          <w:highlight w:val="none"/>
          <w:lang w:eastAsia="zh-CN"/>
        </w:rPr>
        <w:t>成都市技师学院东校区男生宿舍及公共厕所修缮工程项目</w:t>
      </w:r>
    </w:p>
    <w:p w14:paraId="699649F0">
      <w:pPr>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竞</w:t>
      </w:r>
    </w:p>
    <w:p w14:paraId="73259F73">
      <w:pPr>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争</w:t>
      </w:r>
    </w:p>
    <w:p w14:paraId="315D9653">
      <w:pPr>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性</w:t>
      </w:r>
    </w:p>
    <w:p w14:paraId="783A97CB">
      <w:pPr>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谈</w:t>
      </w:r>
    </w:p>
    <w:p w14:paraId="7A39E227">
      <w:pPr>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判</w:t>
      </w:r>
    </w:p>
    <w:p w14:paraId="65D2EAD6">
      <w:pPr>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文</w:t>
      </w:r>
    </w:p>
    <w:p w14:paraId="0AA374F7">
      <w:pPr>
        <w:spacing w:line="360" w:lineRule="auto"/>
        <w:jc w:val="center"/>
        <w:rPr>
          <w:rFonts w:ascii="仿宋" w:hAnsi="仿宋" w:eastAsia="仿宋"/>
          <w:b/>
          <w:color w:val="auto"/>
          <w:sz w:val="52"/>
          <w:szCs w:val="52"/>
          <w:highlight w:val="none"/>
        </w:rPr>
      </w:pPr>
      <w:r>
        <w:rPr>
          <w:rFonts w:hint="eastAsia" w:ascii="仿宋" w:hAnsi="仿宋" w:eastAsia="仿宋"/>
          <w:b/>
          <w:color w:val="auto"/>
          <w:sz w:val="52"/>
          <w:szCs w:val="52"/>
          <w:highlight w:val="none"/>
        </w:rPr>
        <w:t>件</w:t>
      </w:r>
    </w:p>
    <w:p w14:paraId="71C51048">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成都市技师学院</w:t>
      </w:r>
    </w:p>
    <w:p w14:paraId="6CA05B4E">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0"/>
          <w:szCs w:val="30"/>
          <w:highlight w:val="none"/>
        </w:rPr>
        <w:t>四川国际招标有限责任公司</w:t>
      </w:r>
    </w:p>
    <w:p w14:paraId="11939DEF">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共同编制</w:t>
      </w:r>
    </w:p>
    <w:p w14:paraId="630D15F4">
      <w:pPr>
        <w:spacing w:line="360" w:lineRule="auto"/>
        <w:jc w:val="center"/>
        <w:rPr>
          <w:rFonts w:ascii="仿宋" w:hAnsi="仿宋" w:eastAsia="仿宋"/>
          <w:b/>
          <w:bCs/>
          <w:color w:val="auto"/>
          <w:sz w:val="32"/>
          <w:szCs w:val="32"/>
          <w:highlight w:val="none"/>
          <w:lang w:val="zh-CN"/>
        </w:rPr>
      </w:pPr>
      <w:r>
        <w:rPr>
          <w:rFonts w:hint="eastAsia" w:ascii="仿宋" w:hAnsi="仿宋" w:eastAsia="仿宋"/>
          <w:b/>
          <w:bCs/>
          <w:color w:val="auto"/>
          <w:sz w:val="32"/>
          <w:szCs w:val="32"/>
          <w:highlight w:val="none"/>
        </w:rPr>
        <w:t>202</w:t>
      </w:r>
      <w:r>
        <w:rPr>
          <w:rFonts w:hint="eastAsia" w:ascii="仿宋" w:hAnsi="仿宋" w:eastAsia="仿宋"/>
          <w:b/>
          <w:bCs/>
          <w:color w:val="auto"/>
          <w:sz w:val="32"/>
          <w:szCs w:val="32"/>
          <w:highlight w:val="none"/>
          <w:lang w:val="en-US" w:eastAsia="zh-CN"/>
        </w:rPr>
        <w:t>5</w:t>
      </w:r>
      <w:r>
        <w:rPr>
          <w:rFonts w:ascii="仿宋" w:hAnsi="仿宋" w:eastAsia="仿宋"/>
          <w:b/>
          <w:bCs/>
          <w:color w:val="auto"/>
          <w:sz w:val="32"/>
          <w:szCs w:val="32"/>
          <w:highlight w:val="none"/>
          <w:lang w:val="zh-CN"/>
        </w:rPr>
        <w:t>年</w:t>
      </w:r>
      <w:r>
        <w:rPr>
          <w:rFonts w:hint="eastAsia" w:ascii="仿宋" w:hAnsi="仿宋" w:eastAsia="仿宋"/>
          <w:b/>
          <w:bCs/>
          <w:color w:val="auto"/>
          <w:sz w:val="32"/>
          <w:szCs w:val="32"/>
          <w:highlight w:val="none"/>
          <w:lang w:val="en-US" w:eastAsia="zh-CN"/>
        </w:rPr>
        <w:t>5</w:t>
      </w:r>
      <w:r>
        <w:rPr>
          <w:rFonts w:ascii="仿宋" w:hAnsi="仿宋" w:eastAsia="仿宋"/>
          <w:b/>
          <w:bCs/>
          <w:color w:val="auto"/>
          <w:sz w:val="32"/>
          <w:szCs w:val="32"/>
          <w:highlight w:val="none"/>
          <w:lang w:val="zh-CN"/>
        </w:rPr>
        <w:t>月</w:t>
      </w:r>
    </w:p>
    <w:p w14:paraId="0D614D7D">
      <w:pPr>
        <w:pStyle w:val="74"/>
        <w:ind w:firstLine="480"/>
        <w:rPr>
          <w:color w:val="auto"/>
          <w:highlight w:val="none"/>
        </w:rPr>
      </w:pPr>
    </w:p>
    <w:p w14:paraId="5D42EDF4">
      <w:pPr>
        <w:rPr>
          <w:rFonts w:hint="eastAsia" w:ascii="仿宋" w:hAnsi="仿宋" w:eastAsia="仿宋"/>
          <w:b/>
          <w:bCs/>
          <w:color w:val="auto"/>
          <w:sz w:val="36"/>
          <w:szCs w:val="36"/>
          <w:highlight w:val="none"/>
        </w:rPr>
      </w:pPr>
      <w:r>
        <w:rPr>
          <w:rFonts w:hint="eastAsia" w:ascii="仿宋" w:hAnsi="仿宋" w:eastAsia="仿宋"/>
          <w:b/>
          <w:bCs/>
          <w:color w:val="auto"/>
          <w:sz w:val="36"/>
          <w:szCs w:val="36"/>
          <w:highlight w:val="none"/>
        </w:rPr>
        <w:br w:type="page"/>
      </w:r>
    </w:p>
    <w:p w14:paraId="253F7DAB">
      <w:pPr>
        <w:spacing w:after="160" w:line="259" w:lineRule="auto"/>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目    录</w:t>
      </w:r>
    </w:p>
    <w:p w14:paraId="22D32694">
      <w:pPr>
        <w:spacing w:line="360" w:lineRule="auto"/>
        <w:rPr>
          <w:rFonts w:ascii="仿宋" w:hAnsi="仿宋" w:eastAsia="仿宋"/>
          <w:color w:val="auto"/>
          <w:highlight w:val="none"/>
        </w:rPr>
      </w:pPr>
    </w:p>
    <w:p w14:paraId="562318CD">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TOC \h \z \t "标题,1" </w:instrText>
      </w:r>
      <w:r>
        <w:rPr>
          <w:rFonts w:ascii="仿宋" w:hAnsi="仿宋" w:eastAsia="仿宋" w:cs="宋体"/>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"_Toc94214575" </w:instrText>
      </w:r>
      <w:r>
        <w:rPr>
          <w:color w:val="auto"/>
          <w:highlight w:val="none"/>
        </w:rPr>
        <w:fldChar w:fldCharType="separate"/>
      </w:r>
      <w:r>
        <w:rPr>
          <w:rFonts w:ascii="仿宋" w:hAnsi="仿宋" w:eastAsia="仿宋" w:cs="宋体"/>
          <w:bCs w:val="0"/>
          <w:caps w:val="0"/>
          <w:color w:val="auto"/>
          <w:sz w:val="28"/>
          <w:szCs w:val="28"/>
          <w:highlight w:val="none"/>
        </w:rPr>
        <w:t>第一章  谈判邀请</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_Toc94214575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3</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45405C9C">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"_Toc94214576" </w:instrText>
      </w:r>
      <w:r>
        <w:rPr>
          <w:color w:val="auto"/>
          <w:highlight w:val="none"/>
        </w:rPr>
        <w:fldChar w:fldCharType="separate"/>
      </w:r>
      <w:r>
        <w:rPr>
          <w:rFonts w:ascii="仿宋" w:hAnsi="仿宋" w:eastAsia="仿宋" w:cs="宋体"/>
          <w:bCs w:val="0"/>
          <w:caps w:val="0"/>
          <w:color w:val="auto"/>
          <w:sz w:val="28"/>
          <w:szCs w:val="28"/>
          <w:highlight w:val="none"/>
        </w:rPr>
        <w:t>第二章  谈判须知</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_Toc94214576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5</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6033931B">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"_Toc94214577" </w:instrText>
      </w:r>
      <w:r>
        <w:rPr>
          <w:color w:val="auto"/>
          <w:highlight w:val="none"/>
        </w:rPr>
        <w:fldChar w:fldCharType="separate"/>
      </w:r>
      <w:r>
        <w:rPr>
          <w:rFonts w:ascii="仿宋" w:hAnsi="仿宋" w:eastAsia="仿宋" w:cs="宋体"/>
          <w:bCs w:val="0"/>
          <w:caps w:val="0"/>
          <w:color w:val="auto"/>
          <w:sz w:val="28"/>
          <w:szCs w:val="28"/>
          <w:highlight w:val="none"/>
        </w:rPr>
        <w:t>第三章  供应商和报价产品的资格、资质性及其他类似效力要求</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_Toc94214577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21</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49EBE62C">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"_Toc94214578" </w:instrText>
      </w:r>
      <w:r>
        <w:rPr>
          <w:color w:val="auto"/>
          <w:highlight w:val="none"/>
        </w:rPr>
        <w:fldChar w:fldCharType="separate"/>
      </w:r>
      <w:r>
        <w:rPr>
          <w:rFonts w:ascii="仿宋" w:hAnsi="仿宋" w:eastAsia="仿宋" w:cs="宋体"/>
          <w:bCs w:val="0"/>
          <w:caps w:val="0"/>
          <w:color w:val="auto"/>
          <w:sz w:val="28"/>
          <w:szCs w:val="28"/>
          <w:highlight w:val="none"/>
        </w:rPr>
        <w:t>第四章  供应商应当提供的资格、资质性及其他类似效力要求的相关证明材料</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_Toc94214578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23</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5E19DA2A">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"_Toc94214579" </w:instrText>
      </w:r>
      <w:r>
        <w:rPr>
          <w:color w:val="auto"/>
          <w:highlight w:val="none"/>
        </w:rPr>
        <w:fldChar w:fldCharType="separate"/>
      </w:r>
      <w:r>
        <w:rPr>
          <w:rFonts w:ascii="仿宋" w:hAnsi="仿宋" w:eastAsia="仿宋" w:cs="宋体"/>
          <w:bCs w:val="0"/>
          <w:caps w:val="0"/>
          <w:color w:val="auto"/>
          <w:sz w:val="28"/>
          <w:szCs w:val="28"/>
          <w:highlight w:val="none"/>
        </w:rPr>
        <w:t>第五章  采购项目技术、服务、</w:t>
      </w:r>
      <w:r>
        <w:rPr>
          <w:rFonts w:hint="eastAsia" w:ascii="仿宋" w:hAnsi="仿宋" w:eastAsia="仿宋" w:cs="宋体"/>
          <w:bCs w:val="0"/>
          <w:caps w:val="0"/>
          <w:color w:val="auto"/>
          <w:sz w:val="28"/>
          <w:szCs w:val="28"/>
          <w:highlight w:val="none"/>
        </w:rPr>
        <w:t>采购合同</w:t>
      </w:r>
      <w:r>
        <w:rPr>
          <w:rFonts w:ascii="仿宋" w:hAnsi="仿宋" w:eastAsia="仿宋" w:cs="宋体"/>
          <w:bCs w:val="0"/>
          <w:caps w:val="0"/>
          <w:color w:val="auto"/>
          <w:sz w:val="28"/>
          <w:szCs w:val="28"/>
          <w:highlight w:val="none"/>
        </w:rPr>
        <w:t>内容条款 及其他商务要求</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_Toc94214579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25</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221746AB">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"_Toc94214580" </w:instrText>
      </w:r>
      <w:r>
        <w:rPr>
          <w:color w:val="auto"/>
          <w:highlight w:val="none"/>
        </w:rPr>
        <w:fldChar w:fldCharType="separate"/>
      </w:r>
      <w:r>
        <w:rPr>
          <w:rFonts w:ascii="仿宋" w:hAnsi="仿宋" w:eastAsia="仿宋" w:cs="宋体"/>
          <w:bCs w:val="0"/>
          <w:caps w:val="0"/>
          <w:color w:val="auto"/>
          <w:sz w:val="28"/>
          <w:szCs w:val="28"/>
          <w:highlight w:val="none"/>
        </w:rPr>
        <w:t>第六章  谈判内容、谈判过程中可能实质性变动的内容</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_Toc94214580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31</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1C7EF2F6">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"_Toc94214581" </w:instrText>
      </w:r>
      <w:r>
        <w:rPr>
          <w:color w:val="auto"/>
          <w:highlight w:val="none"/>
        </w:rPr>
        <w:fldChar w:fldCharType="separate"/>
      </w:r>
      <w:r>
        <w:rPr>
          <w:rFonts w:ascii="仿宋" w:hAnsi="仿宋" w:eastAsia="仿宋" w:cs="宋体"/>
          <w:bCs w:val="0"/>
          <w:caps w:val="0"/>
          <w:color w:val="auto"/>
          <w:sz w:val="28"/>
          <w:szCs w:val="28"/>
          <w:highlight w:val="none"/>
        </w:rPr>
        <w:t>第七章  响应文件格式</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_Toc94214581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32</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49E49A9D">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"_Toc94214582" </w:instrText>
      </w:r>
      <w:r>
        <w:rPr>
          <w:color w:val="auto"/>
          <w:highlight w:val="none"/>
        </w:rPr>
        <w:fldChar w:fldCharType="separate"/>
      </w:r>
      <w:r>
        <w:rPr>
          <w:rFonts w:ascii="仿宋" w:hAnsi="仿宋" w:eastAsia="仿宋" w:cs="宋体"/>
          <w:bCs w:val="0"/>
          <w:caps w:val="0"/>
          <w:color w:val="auto"/>
          <w:sz w:val="28"/>
          <w:szCs w:val="28"/>
          <w:highlight w:val="none"/>
        </w:rPr>
        <w:t>第八章  评审方法</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_Toc94214582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46</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75F5280D">
      <w:pPr>
        <w:pStyle w:val="29"/>
        <w:tabs>
          <w:tab w:val="right" w:leader="middleDot" w:pos="8949"/>
          <w:tab w:val="clear" w:pos="9345"/>
        </w:tabs>
        <w:spacing w:after="160"/>
        <w:ind w:right="0" w:rightChars="0"/>
        <w:jc w:val="both"/>
        <w:rPr>
          <w:rFonts w:ascii="仿宋" w:hAnsi="仿宋" w:eastAsia="仿宋" w:cs="宋体"/>
          <w:bCs w:val="0"/>
          <w:caps w:val="0"/>
          <w:color w:val="auto"/>
          <w:sz w:val="28"/>
          <w:szCs w:val="28"/>
          <w:highlight w:val="none"/>
        </w:rPr>
      </w:pPr>
      <w:r>
        <w:rPr>
          <w:color w:val="auto"/>
          <w:highlight w:val="none"/>
        </w:rPr>
        <w:fldChar w:fldCharType="begin"/>
      </w:r>
      <w:r>
        <w:rPr>
          <w:color w:val="auto"/>
          <w:highlight w:val="none"/>
        </w:rPr>
        <w:instrText xml:space="preserve"> HYPERLINK \l "_Toc94214583" </w:instrText>
      </w:r>
      <w:r>
        <w:rPr>
          <w:color w:val="auto"/>
          <w:highlight w:val="none"/>
        </w:rPr>
        <w:fldChar w:fldCharType="separate"/>
      </w:r>
      <w:r>
        <w:rPr>
          <w:rFonts w:ascii="仿宋" w:hAnsi="仿宋" w:eastAsia="仿宋" w:cs="宋体"/>
          <w:bCs w:val="0"/>
          <w:caps w:val="0"/>
          <w:color w:val="auto"/>
          <w:sz w:val="28"/>
          <w:szCs w:val="28"/>
          <w:highlight w:val="none"/>
        </w:rPr>
        <w:t xml:space="preserve">第九章  </w:t>
      </w:r>
      <w:r>
        <w:rPr>
          <w:rFonts w:hint="eastAsia" w:ascii="仿宋" w:hAnsi="仿宋" w:eastAsia="仿宋" w:cs="宋体"/>
          <w:bCs w:val="0"/>
          <w:caps w:val="0"/>
          <w:color w:val="auto"/>
          <w:sz w:val="28"/>
          <w:szCs w:val="28"/>
          <w:highlight w:val="none"/>
        </w:rPr>
        <w:t>采购合同</w:t>
      </w:r>
      <w:r>
        <w:rPr>
          <w:rFonts w:ascii="仿宋" w:hAnsi="仿宋" w:eastAsia="仿宋" w:cs="宋体"/>
          <w:bCs w:val="0"/>
          <w:caps w:val="0"/>
          <w:color w:val="auto"/>
          <w:sz w:val="28"/>
          <w:szCs w:val="28"/>
          <w:highlight w:val="none"/>
        </w:rPr>
        <w:t>（草案）</w:t>
      </w:r>
      <w:r>
        <w:rPr>
          <w:rFonts w:ascii="仿宋" w:hAnsi="仿宋" w:eastAsia="仿宋" w:cs="宋体"/>
          <w:bCs w:val="0"/>
          <w:caps w:val="0"/>
          <w:color w:val="auto"/>
          <w:sz w:val="28"/>
          <w:szCs w:val="28"/>
          <w:highlight w:val="none"/>
        </w:rPr>
        <w:tab/>
      </w:r>
      <w:r>
        <w:rPr>
          <w:rFonts w:ascii="仿宋" w:hAnsi="仿宋" w:eastAsia="仿宋" w:cs="宋体"/>
          <w:bCs w:val="0"/>
          <w:caps w:val="0"/>
          <w:color w:val="auto"/>
          <w:sz w:val="28"/>
          <w:szCs w:val="28"/>
          <w:highlight w:val="none"/>
        </w:rPr>
        <w:fldChar w:fldCharType="begin"/>
      </w:r>
      <w:r>
        <w:rPr>
          <w:rFonts w:ascii="仿宋" w:hAnsi="仿宋" w:eastAsia="仿宋" w:cs="宋体"/>
          <w:bCs w:val="0"/>
          <w:caps w:val="0"/>
          <w:color w:val="auto"/>
          <w:sz w:val="28"/>
          <w:szCs w:val="28"/>
          <w:highlight w:val="none"/>
        </w:rPr>
        <w:instrText xml:space="preserve"> PAGEREF _Toc94214583 \h </w:instrText>
      </w:r>
      <w:r>
        <w:rPr>
          <w:rFonts w:ascii="仿宋" w:hAnsi="仿宋" w:eastAsia="仿宋" w:cs="宋体"/>
          <w:bCs w:val="0"/>
          <w:caps w:val="0"/>
          <w:color w:val="auto"/>
          <w:sz w:val="28"/>
          <w:szCs w:val="28"/>
          <w:highlight w:val="none"/>
        </w:rPr>
        <w:fldChar w:fldCharType="separate"/>
      </w:r>
      <w:r>
        <w:rPr>
          <w:rFonts w:ascii="仿宋" w:hAnsi="仿宋" w:eastAsia="仿宋" w:cs="宋体"/>
          <w:bCs w:val="0"/>
          <w:caps w:val="0"/>
          <w:color w:val="auto"/>
          <w:sz w:val="28"/>
          <w:szCs w:val="28"/>
          <w:highlight w:val="none"/>
        </w:rPr>
        <w:t>54</w:t>
      </w:r>
      <w:r>
        <w:rPr>
          <w:rFonts w:ascii="仿宋" w:hAnsi="仿宋" w:eastAsia="仿宋" w:cs="宋体"/>
          <w:bCs w:val="0"/>
          <w:caps w:val="0"/>
          <w:color w:val="auto"/>
          <w:sz w:val="28"/>
          <w:szCs w:val="28"/>
          <w:highlight w:val="none"/>
        </w:rPr>
        <w:fldChar w:fldCharType="end"/>
      </w:r>
      <w:r>
        <w:rPr>
          <w:rFonts w:ascii="仿宋" w:hAnsi="仿宋" w:eastAsia="仿宋" w:cs="宋体"/>
          <w:bCs w:val="0"/>
          <w:caps w:val="0"/>
          <w:color w:val="auto"/>
          <w:sz w:val="28"/>
          <w:szCs w:val="28"/>
          <w:highlight w:val="none"/>
        </w:rPr>
        <w:fldChar w:fldCharType="end"/>
      </w:r>
    </w:p>
    <w:p w14:paraId="788BECB7">
      <w:pPr>
        <w:pStyle w:val="29"/>
        <w:tabs>
          <w:tab w:val="right" w:leader="middleDot" w:pos="8949"/>
          <w:tab w:val="clear" w:pos="9345"/>
        </w:tabs>
        <w:spacing w:after="160"/>
        <w:ind w:right="0" w:rightChars="0"/>
        <w:jc w:val="both"/>
        <w:rPr>
          <w:rFonts w:ascii="仿宋" w:hAnsi="仿宋" w:eastAsia="仿宋"/>
          <w:color w:val="auto"/>
          <w:highlight w:val="none"/>
        </w:rPr>
      </w:pPr>
      <w:r>
        <w:rPr>
          <w:rFonts w:ascii="仿宋" w:hAnsi="仿宋" w:eastAsia="仿宋" w:cs="宋体"/>
          <w:bCs w:val="0"/>
          <w:caps w:val="0"/>
          <w:color w:val="auto"/>
          <w:sz w:val="28"/>
          <w:szCs w:val="28"/>
          <w:highlight w:val="none"/>
        </w:rPr>
        <w:fldChar w:fldCharType="end"/>
      </w:r>
      <w:r>
        <w:rPr>
          <w:rFonts w:ascii="仿宋" w:hAnsi="仿宋" w:eastAsia="仿宋"/>
          <w:color w:val="auto"/>
          <w:highlight w:val="none"/>
        </w:rPr>
        <w:br w:type="page"/>
      </w:r>
    </w:p>
    <w:p w14:paraId="2C7A2E0E">
      <w:pPr>
        <w:pStyle w:val="38"/>
        <w:rPr>
          <w:rFonts w:ascii="仿宋" w:hAnsi="仿宋" w:eastAsia="仿宋"/>
          <w:color w:val="auto"/>
          <w:highlight w:val="none"/>
        </w:rPr>
      </w:pPr>
      <w:bookmarkStart w:id="0" w:name="_Toc94214575"/>
      <w:r>
        <w:rPr>
          <w:rFonts w:hint="eastAsia" w:ascii="仿宋" w:hAnsi="仿宋" w:eastAsia="仿宋"/>
          <w:color w:val="auto"/>
          <w:highlight w:val="none"/>
        </w:rPr>
        <w:t>第一章  谈判邀请</w:t>
      </w:r>
      <w:bookmarkEnd w:id="0"/>
    </w:p>
    <w:p w14:paraId="45A2F6B8">
      <w:pPr>
        <w:pStyle w:val="13"/>
        <w:spacing w:line="360" w:lineRule="auto"/>
        <w:rPr>
          <w:rFonts w:ascii="仿宋" w:hAnsi="仿宋" w:eastAsia="仿宋"/>
          <w:color w:val="auto"/>
          <w:highlight w:val="none"/>
        </w:rPr>
      </w:pPr>
    </w:p>
    <w:p w14:paraId="2CFE1D4F">
      <w:pPr>
        <w:pStyle w:val="13"/>
        <w:spacing w:line="360" w:lineRule="auto"/>
        <w:rPr>
          <w:rFonts w:ascii="仿宋" w:hAnsi="仿宋" w:eastAsia="仿宋"/>
          <w:color w:val="auto"/>
          <w:highlight w:val="none"/>
        </w:rPr>
      </w:pPr>
    </w:p>
    <w:p w14:paraId="410030B3">
      <w:pPr>
        <w:spacing w:line="36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highlight w:val="none"/>
        </w:rPr>
        <w:t>四川国际招标有限责任公司受</w:t>
      </w:r>
      <w:r>
        <w:rPr>
          <w:rFonts w:hint="eastAsia" w:ascii="仿宋" w:hAnsi="仿宋" w:eastAsia="仿宋"/>
          <w:color w:val="auto"/>
          <w:sz w:val="24"/>
          <w:highlight w:val="none"/>
          <w:u w:val="single"/>
        </w:rPr>
        <w:t>成都市技师学院</w:t>
      </w:r>
      <w:r>
        <w:rPr>
          <w:rFonts w:hint="eastAsia" w:ascii="仿宋" w:hAnsi="仿宋" w:eastAsia="仿宋"/>
          <w:color w:val="auto"/>
          <w:sz w:val="24"/>
          <w:highlight w:val="none"/>
        </w:rPr>
        <w:t>委托，拟对</w:t>
      </w:r>
      <w:bookmarkStart w:id="1" w:name="PO_默认文件内容_1"/>
      <w:r>
        <w:rPr>
          <w:rFonts w:hint="eastAsia" w:ascii="仿宋" w:hAnsi="仿宋" w:eastAsia="仿宋"/>
          <w:bCs/>
          <w:color w:val="auto"/>
          <w:sz w:val="24"/>
          <w:highlight w:val="none"/>
          <w:u w:val="single"/>
          <w:lang w:eastAsia="zh-CN"/>
        </w:rPr>
        <w:t>成都市技师学院东校区男生宿舍及公共厕所修缮工程项目</w:t>
      </w:r>
      <w:r>
        <w:rPr>
          <w:rFonts w:hint="eastAsia" w:ascii="仿宋" w:hAnsi="仿宋" w:eastAsia="仿宋"/>
          <w:color w:val="auto"/>
          <w:sz w:val="24"/>
          <w:szCs w:val="32"/>
          <w:highlight w:val="none"/>
        </w:rPr>
        <w:t>采用竞争性谈判方式</w:t>
      </w:r>
      <w:r>
        <w:rPr>
          <w:rFonts w:hint="eastAsia" w:ascii="仿宋" w:hAnsi="仿宋" w:eastAsia="仿宋"/>
          <w:color w:val="auto"/>
          <w:sz w:val="24"/>
          <w:highlight w:val="none"/>
        </w:rPr>
        <w:t>进行采购，特</w:t>
      </w:r>
      <w:r>
        <w:rPr>
          <w:rFonts w:hint="eastAsia" w:ascii="仿宋" w:hAnsi="仿宋" w:eastAsia="仿宋"/>
          <w:color w:val="auto"/>
          <w:sz w:val="24"/>
          <w:szCs w:val="28"/>
          <w:highlight w:val="none"/>
        </w:rPr>
        <w:t>邀请符合本次采购要求的供应商参加</w:t>
      </w:r>
      <w:r>
        <w:rPr>
          <w:rFonts w:hint="eastAsia" w:ascii="仿宋" w:hAnsi="仿宋" w:eastAsia="仿宋"/>
          <w:color w:val="auto"/>
          <w:sz w:val="24"/>
          <w:highlight w:val="none"/>
        </w:rPr>
        <w:t>本项目的竞争性谈判</w:t>
      </w:r>
      <w:r>
        <w:rPr>
          <w:rFonts w:hint="eastAsia" w:ascii="仿宋" w:hAnsi="仿宋" w:eastAsia="仿宋"/>
          <w:color w:val="auto"/>
          <w:sz w:val="24"/>
          <w:szCs w:val="28"/>
          <w:highlight w:val="none"/>
        </w:rPr>
        <w:t>。</w:t>
      </w:r>
      <w:bookmarkEnd w:id="1"/>
    </w:p>
    <w:p w14:paraId="69A8AADA">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一、采购项目基本情况</w:t>
      </w:r>
    </w:p>
    <w:p w14:paraId="449F829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1.项目编号：SCIT-GN-2025050152</w:t>
      </w:r>
    </w:p>
    <w:p w14:paraId="737468D7">
      <w:pPr>
        <w:spacing w:line="360" w:lineRule="auto"/>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rPr>
        <w:t>2.采购项目名称：</w:t>
      </w:r>
      <w:r>
        <w:rPr>
          <w:rFonts w:hint="eastAsia" w:ascii="仿宋" w:hAnsi="仿宋" w:eastAsia="仿宋"/>
          <w:color w:val="auto"/>
          <w:sz w:val="24"/>
          <w:highlight w:val="none"/>
          <w:lang w:eastAsia="zh-CN"/>
        </w:rPr>
        <w:t>成都市技师学院东校区男生宿舍及公共厕所修缮工程项目</w:t>
      </w:r>
    </w:p>
    <w:p w14:paraId="21288FBB">
      <w:pPr>
        <w:spacing w:line="360" w:lineRule="auto"/>
        <w:ind w:firstLine="482" w:firstLineChars="200"/>
        <w:outlineLvl w:val="1"/>
        <w:rPr>
          <w:rFonts w:ascii="仿宋" w:hAnsi="仿宋" w:eastAsia="仿宋"/>
          <w:color w:val="auto"/>
          <w:sz w:val="24"/>
          <w:highlight w:val="none"/>
        </w:rPr>
      </w:pPr>
      <w:r>
        <w:rPr>
          <w:rFonts w:hint="eastAsia" w:ascii="仿宋" w:hAnsi="仿宋" w:eastAsia="仿宋"/>
          <w:b/>
          <w:color w:val="auto"/>
          <w:sz w:val="24"/>
          <w:highlight w:val="none"/>
        </w:rPr>
        <w:t>二、采购项目简介：</w:t>
      </w:r>
    </w:p>
    <w:p w14:paraId="215A0541">
      <w:pPr>
        <w:spacing w:after="120" w:line="360" w:lineRule="auto"/>
        <w:ind w:firstLine="464" w:firstLineChars="200"/>
        <w:rPr>
          <w:rFonts w:ascii="仿宋" w:hAnsi="仿宋" w:eastAsia="仿宋"/>
          <w:color w:val="auto"/>
          <w:sz w:val="24"/>
          <w:szCs w:val="28"/>
          <w:highlight w:val="none"/>
        </w:rPr>
      </w:pPr>
      <w:bookmarkStart w:id="2" w:name="PO_默认文件内容_2"/>
      <w:r>
        <w:rPr>
          <w:rFonts w:hint="eastAsia" w:ascii="仿宋" w:hAnsi="仿宋" w:eastAsia="仿宋"/>
          <w:color w:val="auto"/>
          <w:spacing w:val="-4"/>
          <w:sz w:val="24"/>
          <w:highlight w:val="none"/>
        </w:rPr>
        <w:t>本项目共1个包。</w:t>
      </w:r>
      <w:bookmarkEnd w:id="2"/>
    </w:p>
    <w:p w14:paraId="29435728">
      <w:pPr>
        <w:spacing w:line="360" w:lineRule="auto"/>
        <w:ind w:firstLine="482" w:firstLineChars="200"/>
        <w:outlineLvl w:val="1"/>
        <w:rPr>
          <w:rFonts w:ascii="仿宋" w:hAnsi="仿宋" w:eastAsia="仿宋"/>
          <w:b/>
          <w:bCs/>
          <w:color w:val="auto"/>
          <w:sz w:val="24"/>
          <w:highlight w:val="none"/>
        </w:rPr>
      </w:pPr>
      <w:r>
        <w:rPr>
          <w:rFonts w:hint="eastAsia" w:ascii="仿宋" w:hAnsi="仿宋" w:eastAsia="仿宋"/>
          <w:b/>
          <w:bCs/>
          <w:color w:val="auto"/>
          <w:sz w:val="24"/>
          <w:highlight w:val="none"/>
        </w:rPr>
        <w:t>三、供应商邀请方式</w:t>
      </w:r>
    </w:p>
    <w:p w14:paraId="41F19948">
      <w:pPr>
        <w:spacing w:line="360" w:lineRule="auto"/>
        <w:ind w:firstLine="480" w:firstLineChars="200"/>
        <w:rPr>
          <w:rFonts w:ascii="仿宋" w:hAnsi="仿宋" w:eastAsia="仿宋"/>
          <w:bCs/>
          <w:color w:val="auto"/>
          <w:sz w:val="24"/>
          <w:highlight w:val="none"/>
        </w:rPr>
      </w:pPr>
      <w:bookmarkStart w:id="3" w:name="PO_默认文件内容_3"/>
      <w:r>
        <w:rPr>
          <w:rFonts w:hint="eastAsia" w:ascii="仿宋" w:hAnsi="仿宋" w:eastAsia="仿宋"/>
          <w:bCs/>
          <w:color w:val="auto"/>
          <w:sz w:val="24"/>
          <w:highlight w:val="none"/>
        </w:rPr>
        <w:t>本次竞争性谈判邀请在中国招标投标公共服务平台上以公告形式发布。</w:t>
      </w:r>
      <w:bookmarkEnd w:id="3"/>
    </w:p>
    <w:p w14:paraId="2BEDA088">
      <w:pPr>
        <w:spacing w:line="360" w:lineRule="auto"/>
        <w:ind w:firstLine="482" w:firstLineChars="200"/>
        <w:outlineLvl w:val="1"/>
        <w:rPr>
          <w:rFonts w:ascii="仿宋" w:hAnsi="仿宋" w:eastAsia="仿宋"/>
          <w:b/>
          <w:bCs/>
          <w:color w:val="auto"/>
          <w:sz w:val="24"/>
          <w:highlight w:val="none"/>
        </w:rPr>
      </w:pPr>
      <w:r>
        <w:rPr>
          <w:rFonts w:hint="eastAsia" w:ascii="仿宋" w:hAnsi="仿宋" w:eastAsia="仿宋"/>
          <w:b/>
          <w:bCs/>
          <w:color w:val="auto"/>
          <w:sz w:val="24"/>
          <w:highlight w:val="none"/>
        </w:rPr>
        <w:t>四、供应商参加本次采购活动应具备下列条件：</w:t>
      </w:r>
    </w:p>
    <w:p w14:paraId="6E7F2BEA">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bookmarkStart w:id="4" w:name="PO_供应商资格条件_1"/>
      <w:r>
        <w:rPr>
          <w:rFonts w:ascii="仿宋" w:hAnsi="仿宋" w:eastAsia="仿宋" w:cs="宋体"/>
          <w:color w:val="auto"/>
          <w:sz w:val="24"/>
          <w:highlight w:val="none"/>
        </w:rPr>
        <w:t>1</w:t>
      </w:r>
      <w:r>
        <w:rPr>
          <w:rFonts w:hint="eastAsia" w:ascii="仿宋" w:hAnsi="仿宋" w:eastAsia="仿宋" w:cs="宋体"/>
          <w:color w:val="auto"/>
          <w:sz w:val="24"/>
          <w:highlight w:val="none"/>
        </w:rPr>
        <w:t>.具有独立承担民事责任的能力；</w:t>
      </w:r>
    </w:p>
    <w:p w14:paraId="78F90548">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2.具有良好的商业信誉和健全的财务会计制度；</w:t>
      </w:r>
    </w:p>
    <w:p w14:paraId="3085E0CA">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3.具有履行合同所必需的设备和专业技术能力；</w:t>
      </w:r>
    </w:p>
    <w:p w14:paraId="06C28938">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4.具有依法缴纳税收和社会保障资金的良好记录；</w:t>
      </w:r>
    </w:p>
    <w:p w14:paraId="43CE89D2">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5.参加采购活动前三年内，在经营活动中没有重大违法记录；</w:t>
      </w:r>
    </w:p>
    <w:p w14:paraId="0546B984">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6.法律、行政法规规定的其他条件；</w:t>
      </w:r>
    </w:p>
    <w:p w14:paraId="52DFD86D">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7.根据采购项目提出的特殊条件</w:t>
      </w:r>
      <w:r>
        <w:rPr>
          <w:rFonts w:ascii="仿宋" w:hAnsi="仿宋" w:eastAsia="仿宋" w:cs="宋体"/>
          <w:color w:val="auto"/>
          <w:sz w:val="24"/>
          <w:highlight w:val="none"/>
        </w:rPr>
        <w:t>；</w:t>
      </w:r>
    </w:p>
    <w:p w14:paraId="692A59C5">
      <w:pPr>
        <w:pStyle w:val="2"/>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（1）具备建设行政主管部门颁发的建筑工程施工总承包三级及以上资质。</w:t>
      </w:r>
    </w:p>
    <w:p w14:paraId="71F9CDF1">
      <w:pPr>
        <w:pStyle w:val="2"/>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（2）具备有效的《安全生产许可证》。</w:t>
      </w:r>
    </w:p>
    <w:p w14:paraId="5C53D884">
      <w:pPr>
        <w:pStyle w:val="2"/>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3）如成交供应商为四川省省外企业的，在合同签订前应具备有效的《四川省省外企业入川从事建筑活动备案证》或《四川省省外建筑企业入川承揽业务验证登记证》或带二维码的《四川省省外施工、监理企业入川承揽业务信息录入证》或《四川省省外建筑企业入川信息报送电子登记表》。</w:t>
      </w:r>
    </w:p>
    <w:bookmarkEnd w:id="4"/>
    <w:p w14:paraId="76A0CE4C">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五、谈判文件获取方式、时间、地点：</w:t>
      </w:r>
    </w:p>
    <w:p w14:paraId="7293B04A">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szCs w:val="18"/>
          <w:highlight w:val="none"/>
        </w:rPr>
        <w:t>谈判文件</w:t>
      </w:r>
      <w:r>
        <w:rPr>
          <w:rFonts w:hint="eastAsia" w:ascii="仿宋" w:hAnsi="仿宋" w:eastAsia="仿宋"/>
          <w:color w:val="auto"/>
          <w:sz w:val="24"/>
          <w:highlight w:val="none"/>
        </w:rPr>
        <w:t>自</w:t>
      </w:r>
      <w:r>
        <w:rPr>
          <w:rFonts w:hint="eastAsia" w:ascii="仿宋" w:hAnsi="仿宋" w:eastAsia="仿宋"/>
          <w:color w:val="auto"/>
          <w:sz w:val="24"/>
          <w:highlight w:val="none"/>
          <w:lang w:eastAsia="zh-CN"/>
        </w:rPr>
        <w:t>2025</w:t>
      </w:r>
      <w:r>
        <w:rPr>
          <w:rFonts w:ascii="仿宋" w:hAnsi="仿宋" w:eastAsia="仿宋"/>
          <w:color w:val="auto"/>
          <w:sz w:val="24"/>
          <w:highlight w:val="none"/>
        </w:rPr>
        <w:t>年</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3</w:t>
      </w:r>
      <w:r>
        <w:rPr>
          <w:rFonts w:hint="eastAsia" w:ascii="仿宋" w:hAnsi="仿宋" w:eastAsia="仿宋"/>
          <w:color w:val="auto"/>
          <w:sz w:val="24"/>
          <w:highlight w:val="none"/>
        </w:rPr>
        <w:t>日至</w:t>
      </w:r>
      <w:r>
        <w:rPr>
          <w:rFonts w:hint="eastAsia" w:ascii="仿宋" w:hAnsi="仿宋" w:eastAsia="仿宋"/>
          <w:color w:val="auto"/>
          <w:sz w:val="24"/>
          <w:highlight w:val="none"/>
          <w:lang w:eastAsia="zh-CN"/>
        </w:rPr>
        <w:t>2025</w:t>
      </w:r>
      <w:r>
        <w:rPr>
          <w:rFonts w:ascii="仿宋" w:hAnsi="仿宋" w:eastAsia="仿宋"/>
          <w:color w:val="auto"/>
          <w:sz w:val="24"/>
          <w:highlight w:val="none"/>
        </w:rPr>
        <w:t>年</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5</w:t>
      </w:r>
      <w:r>
        <w:rPr>
          <w:rFonts w:ascii="仿宋" w:hAnsi="仿宋" w:eastAsia="仿宋"/>
          <w:color w:val="auto"/>
          <w:sz w:val="24"/>
          <w:highlight w:val="none"/>
        </w:rPr>
        <w:t xml:space="preserve">日 </w:t>
      </w:r>
      <w:r>
        <w:rPr>
          <w:rFonts w:hint="eastAsia" w:ascii="仿宋" w:hAnsi="仿宋" w:eastAsia="仿宋"/>
          <w:color w:val="auto"/>
          <w:sz w:val="24"/>
          <w:highlight w:val="none"/>
        </w:rPr>
        <w:t>每天</w:t>
      </w:r>
      <w:r>
        <w:rPr>
          <w:rFonts w:ascii="仿宋" w:hAnsi="仿宋" w:eastAsia="仿宋"/>
          <w:color w:val="auto"/>
          <w:sz w:val="24"/>
          <w:highlight w:val="none"/>
        </w:rPr>
        <w:t>上午</w:t>
      </w:r>
      <w:r>
        <w:rPr>
          <w:rFonts w:hint="eastAsia" w:ascii="仿宋" w:hAnsi="仿宋" w:eastAsia="仿宋"/>
          <w:color w:val="auto"/>
          <w:sz w:val="24"/>
          <w:highlight w:val="none"/>
        </w:rPr>
        <w:t>9:0</w:t>
      </w:r>
      <w:r>
        <w:rPr>
          <w:rFonts w:ascii="仿宋" w:hAnsi="仿宋" w:eastAsia="仿宋"/>
          <w:color w:val="auto"/>
          <w:sz w:val="24"/>
          <w:highlight w:val="none"/>
        </w:rPr>
        <w:t>0—12:00，下午</w:t>
      </w:r>
      <w:r>
        <w:rPr>
          <w:rFonts w:hint="eastAsia" w:ascii="仿宋" w:hAnsi="仿宋" w:eastAsia="仿宋"/>
          <w:color w:val="auto"/>
          <w:sz w:val="24"/>
          <w:highlight w:val="none"/>
        </w:rPr>
        <w:t>1</w:t>
      </w:r>
      <w:r>
        <w:rPr>
          <w:rFonts w:ascii="仿宋" w:hAnsi="仿宋" w:eastAsia="仿宋"/>
          <w:color w:val="auto"/>
          <w:sz w:val="24"/>
          <w:highlight w:val="none"/>
        </w:rPr>
        <w:t>3:00—17:00（北京时间，法定节假日除外）</w:t>
      </w:r>
      <w:r>
        <w:rPr>
          <w:rFonts w:hint="eastAsia" w:ascii="仿宋" w:hAnsi="仿宋" w:eastAsia="仿宋"/>
          <w:color w:val="auto"/>
          <w:sz w:val="24"/>
          <w:highlight w:val="none"/>
        </w:rPr>
        <w:t>在</w:t>
      </w:r>
      <w:bookmarkStart w:id="5" w:name="PO_默认文件内容_27"/>
      <w:r>
        <w:rPr>
          <w:rFonts w:hint="eastAsia" w:ascii="仿宋" w:hAnsi="仿宋" w:eastAsia="仿宋"/>
          <w:color w:val="auto"/>
          <w:sz w:val="24"/>
          <w:highlight w:val="none"/>
        </w:rPr>
        <w:t>我司指定网站</w:t>
      </w:r>
      <w:bookmarkEnd w:id="5"/>
      <w:r>
        <w:rPr>
          <w:rFonts w:hint="eastAsia" w:ascii="仿宋" w:hAnsi="仿宋" w:eastAsia="仿宋"/>
          <w:color w:val="auto"/>
          <w:sz w:val="24"/>
          <w:highlight w:val="none"/>
        </w:rPr>
        <w:t>(http://sale.scbid.net)获取，具体获取流程详见该网站的“标书领取操作手册”。</w:t>
      </w:r>
    </w:p>
    <w:p w14:paraId="47EF2E45">
      <w:pPr>
        <w:spacing w:line="360" w:lineRule="auto"/>
        <w:ind w:firstLine="482" w:firstLineChars="200"/>
        <w:outlineLvl w:val="1"/>
        <w:rPr>
          <w:rFonts w:ascii="仿宋" w:hAnsi="仿宋" w:eastAsia="仿宋"/>
          <w:color w:val="auto"/>
          <w:sz w:val="24"/>
          <w:szCs w:val="28"/>
          <w:highlight w:val="none"/>
        </w:rPr>
      </w:pPr>
      <w:r>
        <w:rPr>
          <w:rFonts w:hint="eastAsia" w:ascii="仿宋" w:hAnsi="仿宋" w:eastAsia="仿宋"/>
          <w:b/>
          <w:color w:val="auto"/>
          <w:sz w:val="24"/>
          <w:szCs w:val="28"/>
          <w:highlight w:val="none"/>
        </w:rPr>
        <w:t>六、递交响应文件</w:t>
      </w:r>
      <w:r>
        <w:rPr>
          <w:rFonts w:hint="eastAsia" w:ascii="仿宋" w:hAnsi="仿宋" w:eastAsia="仿宋"/>
          <w:b/>
          <w:color w:val="auto"/>
          <w:sz w:val="24"/>
          <w:highlight w:val="none"/>
        </w:rPr>
        <w:t>截止时间：</w:t>
      </w:r>
      <w:r>
        <w:rPr>
          <w:rFonts w:hint="eastAsia" w:ascii="仿宋" w:hAnsi="仿宋" w:eastAsia="仿宋"/>
          <w:color w:val="auto"/>
          <w:sz w:val="24"/>
          <w:szCs w:val="28"/>
          <w:highlight w:val="none"/>
          <w:lang w:eastAsia="zh-CN"/>
        </w:rPr>
        <w:t>2025</w:t>
      </w:r>
      <w:r>
        <w:rPr>
          <w:rFonts w:ascii="仿宋" w:hAnsi="仿宋" w:eastAsia="仿宋"/>
          <w:color w:val="auto"/>
          <w:sz w:val="24"/>
          <w:szCs w:val="28"/>
          <w:highlight w:val="none"/>
        </w:rPr>
        <w:t>年</w:t>
      </w:r>
      <w:r>
        <w:rPr>
          <w:rFonts w:hint="eastAsia" w:ascii="仿宋" w:hAnsi="仿宋" w:eastAsia="仿宋"/>
          <w:color w:val="auto"/>
          <w:sz w:val="24"/>
          <w:szCs w:val="28"/>
          <w:highlight w:val="none"/>
          <w:lang w:val="en-US" w:eastAsia="zh-CN"/>
        </w:rPr>
        <w:t>6</w:t>
      </w:r>
      <w:r>
        <w:rPr>
          <w:rFonts w:hint="eastAsia" w:ascii="仿宋" w:hAnsi="仿宋" w:eastAsia="仿宋"/>
          <w:color w:val="auto"/>
          <w:sz w:val="24"/>
          <w:szCs w:val="28"/>
          <w:highlight w:val="none"/>
        </w:rPr>
        <w:t>月</w:t>
      </w:r>
      <w:r>
        <w:rPr>
          <w:rFonts w:hint="eastAsia" w:ascii="仿宋" w:hAnsi="仿宋" w:eastAsia="仿宋"/>
          <w:color w:val="auto"/>
          <w:sz w:val="24"/>
          <w:szCs w:val="28"/>
          <w:highlight w:val="none"/>
          <w:lang w:val="en-US" w:eastAsia="zh-CN"/>
        </w:rPr>
        <w:t>6</w:t>
      </w:r>
      <w:r>
        <w:rPr>
          <w:rFonts w:ascii="仿宋" w:hAnsi="仿宋" w:eastAsia="仿宋"/>
          <w:color w:val="auto"/>
          <w:sz w:val="24"/>
          <w:szCs w:val="28"/>
          <w:highlight w:val="none"/>
        </w:rPr>
        <w:t>日</w:t>
      </w:r>
      <w:r>
        <w:rPr>
          <w:rFonts w:hint="eastAsia" w:ascii="仿宋" w:hAnsi="仿宋" w:eastAsia="仿宋"/>
          <w:color w:val="auto"/>
          <w:sz w:val="24"/>
          <w:szCs w:val="28"/>
          <w:highlight w:val="none"/>
          <w:lang w:val="en-US" w:eastAsia="zh-CN"/>
        </w:rPr>
        <w:t>10</w:t>
      </w:r>
      <w:r>
        <w:rPr>
          <w:rFonts w:ascii="仿宋" w:hAnsi="仿宋" w:eastAsia="仿宋"/>
          <w:color w:val="auto"/>
          <w:sz w:val="24"/>
          <w:szCs w:val="28"/>
          <w:highlight w:val="none"/>
        </w:rPr>
        <w:t>:</w:t>
      </w:r>
      <w:r>
        <w:rPr>
          <w:rFonts w:hint="eastAsia" w:ascii="仿宋" w:hAnsi="仿宋" w:eastAsia="仿宋"/>
          <w:color w:val="auto"/>
          <w:sz w:val="24"/>
          <w:szCs w:val="28"/>
          <w:highlight w:val="none"/>
        </w:rPr>
        <w:t>30</w:t>
      </w:r>
      <w:r>
        <w:rPr>
          <w:rFonts w:ascii="仿宋" w:hAnsi="仿宋" w:eastAsia="仿宋"/>
          <w:color w:val="auto"/>
          <w:sz w:val="24"/>
          <w:szCs w:val="28"/>
          <w:highlight w:val="none"/>
        </w:rPr>
        <w:t>（北京时间）</w:t>
      </w:r>
      <w:r>
        <w:rPr>
          <w:rFonts w:hint="eastAsia" w:ascii="仿宋" w:hAnsi="仿宋" w:eastAsia="仿宋"/>
          <w:color w:val="auto"/>
          <w:sz w:val="24"/>
          <w:szCs w:val="28"/>
          <w:highlight w:val="none"/>
        </w:rPr>
        <w:t>。</w:t>
      </w:r>
    </w:p>
    <w:p w14:paraId="3F647EC3">
      <w:pPr>
        <w:spacing w:line="360" w:lineRule="auto"/>
        <w:ind w:firstLine="482" w:firstLineChars="200"/>
        <w:outlineLvl w:val="1"/>
        <w:rPr>
          <w:rFonts w:ascii="仿宋" w:hAnsi="仿宋" w:eastAsia="仿宋"/>
          <w:color w:val="auto"/>
          <w:sz w:val="24"/>
          <w:szCs w:val="28"/>
          <w:highlight w:val="none"/>
        </w:rPr>
      </w:pPr>
      <w:r>
        <w:rPr>
          <w:rFonts w:hint="eastAsia" w:ascii="仿宋" w:hAnsi="仿宋" w:eastAsia="仿宋"/>
          <w:b/>
          <w:color w:val="auto"/>
          <w:sz w:val="24"/>
          <w:szCs w:val="28"/>
          <w:highlight w:val="none"/>
        </w:rPr>
        <w:t>七</w:t>
      </w:r>
      <w:r>
        <w:rPr>
          <w:rFonts w:hint="eastAsia" w:ascii="仿宋" w:hAnsi="仿宋" w:eastAsia="仿宋"/>
          <w:b/>
          <w:color w:val="auto"/>
          <w:sz w:val="24"/>
          <w:highlight w:val="none"/>
        </w:rPr>
        <w:t>、递交响应文件地点：</w:t>
      </w:r>
      <w:bookmarkStart w:id="6" w:name="PO_默认文件内容_7"/>
      <w:r>
        <w:rPr>
          <w:rFonts w:hint="eastAsia" w:ascii="仿宋" w:hAnsi="仿宋" w:eastAsia="仿宋"/>
          <w:color w:val="auto"/>
          <w:sz w:val="24"/>
          <w:highlight w:val="none"/>
        </w:rPr>
        <w:t>响应文件必须在递交响应文件截止时间前送达谈判地点。逾期送达或没有密封的响应文件恕不接收。本次采购不接收邮寄的响应文件。</w:t>
      </w:r>
      <w:bookmarkEnd w:id="6"/>
      <w:r>
        <w:rPr>
          <w:rFonts w:hint="eastAsia" w:ascii="仿宋" w:hAnsi="仿宋" w:eastAsia="仿宋"/>
          <w:color w:val="auto"/>
          <w:sz w:val="24"/>
          <w:highlight w:val="none"/>
        </w:rPr>
        <w:t>（</w:t>
      </w:r>
      <w:r>
        <w:rPr>
          <w:rFonts w:hint="eastAsia" w:ascii="仿宋" w:hAnsi="仿宋" w:eastAsia="仿宋"/>
          <w:b/>
          <w:bCs/>
          <w:color w:val="auto"/>
          <w:sz w:val="24"/>
          <w:highlight w:val="none"/>
        </w:rPr>
        <w:t>文件接收时间：</w:t>
      </w:r>
      <w:r>
        <w:rPr>
          <w:rFonts w:hint="eastAsia" w:ascii="仿宋" w:hAnsi="仿宋" w:eastAsia="仿宋"/>
          <w:b/>
          <w:bCs/>
          <w:color w:val="auto"/>
          <w:sz w:val="24"/>
          <w:highlight w:val="none"/>
          <w:lang w:eastAsia="zh-CN"/>
        </w:rPr>
        <w:t>2025</w:t>
      </w:r>
      <w:r>
        <w:rPr>
          <w:rFonts w:hint="eastAsia" w:ascii="仿宋" w:hAnsi="仿宋" w:eastAsia="仿宋"/>
          <w:b/>
          <w:bCs/>
          <w:color w:val="auto"/>
          <w:sz w:val="24"/>
          <w:highlight w:val="none"/>
        </w:rPr>
        <w:t>年</w:t>
      </w:r>
      <w:r>
        <w:rPr>
          <w:rFonts w:hint="eastAsia" w:ascii="仿宋" w:hAnsi="仿宋" w:eastAsia="仿宋"/>
          <w:b/>
          <w:bCs/>
          <w:color w:val="auto"/>
          <w:sz w:val="24"/>
          <w:highlight w:val="none"/>
          <w:lang w:val="en-US" w:eastAsia="zh-CN"/>
        </w:rPr>
        <w:t>6</w:t>
      </w:r>
      <w:r>
        <w:rPr>
          <w:rFonts w:hint="eastAsia" w:ascii="仿宋" w:hAnsi="仿宋" w:eastAsia="仿宋"/>
          <w:b/>
          <w:bCs/>
          <w:color w:val="auto"/>
          <w:sz w:val="24"/>
          <w:highlight w:val="none"/>
        </w:rPr>
        <w:t>月</w:t>
      </w:r>
      <w:r>
        <w:rPr>
          <w:rFonts w:hint="eastAsia" w:ascii="仿宋" w:hAnsi="仿宋" w:eastAsia="仿宋"/>
          <w:b/>
          <w:bCs/>
          <w:color w:val="auto"/>
          <w:sz w:val="24"/>
          <w:highlight w:val="none"/>
          <w:lang w:val="en-US" w:eastAsia="zh-CN"/>
        </w:rPr>
        <w:t>6</w:t>
      </w:r>
      <w:r>
        <w:rPr>
          <w:rFonts w:hint="eastAsia" w:ascii="仿宋" w:hAnsi="仿宋" w:eastAsia="仿宋"/>
          <w:b/>
          <w:bCs/>
          <w:color w:val="auto"/>
          <w:sz w:val="24"/>
          <w:highlight w:val="none"/>
        </w:rPr>
        <w:t>日</w:t>
      </w:r>
      <w:r>
        <w:rPr>
          <w:rFonts w:hint="eastAsia" w:ascii="仿宋" w:hAnsi="仿宋" w:eastAsia="仿宋"/>
          <w:b/>
          <w:bCs/>
          <w:color w:val="auto"/>
          <w:sz w:val="24"/>
          <w:highlight w:val="none"/>
          <w:lang w:val="en-US" w:eastAsia="zh-CN"/>
        </w:rPr>
        <w:t>10</w:t>
      </w:r>
      <w:r>
        <w:rPr>
          <w:rFonts w:hint="eastAsia" w:ascii="仿宋" w:hAnsi="仿宋" w:eastAsia="仿宋"/>
          <w:b/>
          <w:bCs/>
          <w:color w:val="auto"/>
          <w:sz w:val="24"/>
          <w:highlight w:val="none"/>
        </w:rPr>
        <w:t>:00（北京时间）-</w:t>
      </w:r>
      <w:r>
        <w:rPr>
          <w:rFonts w:hint="eastAsia" w:ascii="仿宋" w:hAnsi="仿宋" w:eastAsia="仿宋"/>
          <w:b/>
          <w:bCs/>
          <w:color w:val="auto"/>
          <w:sz w:val="24"/>
          <w:highlight w:val="none"/>
          <w:lang w:eastAsia="zh-CN"/>
        </w:rPr>
        <w:t>2025</w:t>
      </w:r>
      <w:r>
        <w:rPr>
          <w:rFonts w:hint="eastAsia" w:ascii="仿宋" w:hAnsi="仿宋" w:eastAsia="仿宋"/>
          <w:b/>
          <w:bCs/>
          <w:color w:val="auto"/>
          <w:sz w:val="24"/>
          <w:highlight w:val="none"/>
        </w:rPr>
        <w:t>年</w:t>
      </w:r>
      <w:r>
        <w:rPr>
          <w:rFonts w:hint="eastAsia" w:ascii="仿宋" w:hAnsi="仿宋" w:eastAsia="仿宋"/>
          <w:b/>
          <w:bCs/>
          <w:color w:val="auto"/>
          <w:sz w:val="24"/>
          <w:highlight w:val="none"/>
          <w:lang w:val="en-US" w:eastAsia="zh-CN"/>
        </w:rPr>
        <w:t>6</w:t>
      </w:r>
      <w:r>
        <w:rPr>
          <w:rFonts w:hint="eastAsia" w:ascii="仿宋" w:hAnsi="仿宋" w:eastAsia="仿宋"/>
          <w:b/>
          <w:bCs/>
          <w:color w:val="auto"/>
          <w:sz w:val="24"/>
          <w:highlight w:val="none"/>
        </w:rPr>
        <w:t>月</w:t>
      </w:r>
      <w:r>
        <w:rPr>
          <w:rFonts w:hint="eastAsia" w:ascii="仿宋" w:hAnsi="仿宋" w:eastAsia="仿宋"/>
          <w:b/>
          <w:bCs/>
          <w:color w:val="auto"/>
          <w:sz w:val="24"/>
          <w:highlight w:val="none"/>
          <w:lang w:val="en-US" w:eastAsia="zh-CN"/>
        </w:rPr>
        <w:t>6</w:t>
      </w:r>
      <w:r>
        <w:rPr>
          <w:rFonts w:hint="eastAsia" w:ascii="仿宋" w:hAnsi="仿宋" w:eastAsia="仿宋"/>
          <w:b/>
          <w:bCs/>
          <w:color w:val="auto"/>
          <w:sz w:val="24"/>
          <w:highlight w:val="none"/>
        </w:rPr>
        <w:t>日</w:t>
      </w:r>
      <w:r>
        <w:rPr>
          <w:rFonts w:hint="eastAsia" w:ascii="仿宋" w:hAnsi="仿宋" w:eastAsia="仿宋"/>
          <w:b/>
          <w:bCs/>
          <w:color w:val="auto"/>
          <w:sz w:val="24"/>
          <w:highlight w:val="none"/>
          <w:lang w:val="en-US" w:eastAsia="zh-CN"/>
        </w:rPr>
        <w:t>10</w:t>
      </w:r>
      <w:r>
        <w:rPr>
          <w:rFonts w:hint="eastAsia" w:ascii="仿宋" w:hAnsi="仿宋" w:eastAsia="仿宋"/>
          <w:b/>
          <w:bCs/>
          <w:color w:val="auto"/>
          <w:sz w:val="24"/>
          <w:highlight w:val="none"/>
        </w:rPr>
        <w:t>:30（北京时间））</w:t>
      </w:r>
    </w:p>
    <w:p w14:paraId="34F2C91B">
      <w:pPr>
        <w:spacing w:line="360" w:lineRule="auto"/>
        <w:ind w:firstLine="482" w:firstLineChars="200"/>
        <w:outlineLvl w:val="1"/>
        <w:rPr>
          <w:rFonts w:ascii="仿宋" w:hAnsi="仿宋" w:eastAsia="仿宋"/>
          <w:color w:val="auto"/>
          <w:sz w:val="24"/>
          <w:szCs w:val="28"/>
          <w:highlight w:val="none"/>
        </w:rPr>
      </w:pPr>
      <w:r>
        <w:rPr>
          <w:rFonts w:hint="eastAsia" w:ascii="仿宋" w:hAnsi="仿宋" w:eastAsia="仿宋"/>
          <w:b/>
          <w:color w:val="auto"/>
          <w:sz w:val="24"/>
          <w:szCs w:val="28"/>
          <w:highlight w:val="none"/>
        </w:rPr>
        <w:t>八、响应文件开启时间：</w:t>
      </w:r>
      <w:r>
        <w:rPr>
          <w:rFonts w:hint="eastAsia" w:ascii="仿宋" w:hAnsi="仿宋" w:eastAsia="仿宋"/>
          <w:color w:val="auto"/>
          <w:sz w:val="24"/>
          <w:szCs w:val="28"/>
          <w:highlight w:val="none"/>
          <w:lang w:eastAsia="zh-CN"/>
        </w:rPr>
        <w:t>2025</w:t>
      </w:r>
      <w:r>
        <w:rPr>
          <w:rFonts w:hint="eastAsia" w:ascii="仿宋" w:hAnsi="仿宋" w:eastAsia="仿宋"/>
          <w:color w:val="auto"/>
          <w:sz w:val="24"/>
          <w:szCs w:val="28"/>
          <w:highlight w:val="none"/>
        </w:rPr>
        <w:t>年</w:t>
      </w:r>
      <w:r>
        <w:rPr>
          <w:rFonts w:hint="eastAsia" w:ascii="仿宋" w:hAnsi="仿宋" w:eastAsia="仿宋"/>
          <w:color w:val="auto"/>
          <w:sz w:val="24"/>
          <w:szCs w:val="28"/>
          <w:highlight w:val="none"/>
          <w:lang w:val="en-US" w:eastAsia="zh-CN"/>
        </w:rPr>
        <w:t>6</w:t>
      </w:r>
      <w:r>
        <w:rPr>
          <w:rFonts w:hint="eastAsia" w:ascii="仿宋" w:hAnsi="仿宋" w:eastAsia="仿宋"/>
          <w:color w:val="auto"/>
          <w:sz w:val="24"/>
          <w:szCs w:val="28"/>
          <w:highlight w:val="none"/>
        </w:rPr>
        <w:t>月</w:t>
      </w:r>
      <w:r>
        <w:rPr>
          <w:rFonts w:hint="eastAsia" w:ascii="仿宋" w:hAnsi="仿宋" w:eastAsia="仿宋"/>
          <w:color w:val="auto"/>
          <w:sz w:val="24"/>
          <w:szCs w:val="28"/>
          <w:highlight w:val="none"/>
          <w:lang w:val="en-US" w:eastAsia="zh-CN"/>
        </w:rPr>
        <w:t>6</w:t>
      </w:r>
      <w:r>
        <w:rPr>
          <w:rFonts w:hint="eastAsia" w:ascii="仿宋" w:hAnsi="仿宋" w:eastAsia="仿宋"/>
          <w:color w:val="auto"/>
          <w:sz w:val="24"/>
          <w:szCs w:val="28"/>
          <w:highlight w:val="none"/>
        </w:rPr>
        <w:t>日</w:t>
      </w:r>
      <w:r>
        <w:rPr>
          <w:rFonts w:hint="eastAsia" w:ascii="仿宋" w:hAnsi="仿宋" w:eastAsia="仿宋"/>
          <w:color w:val="auto"/>
          <w:sz w:val="24"/>
          <w:szCs w:val="28"/>
          <w:highlight w:val="none"/>
          <w:lang w:val="en-US" w:eastAsia="zh-CN"/>
        </w:rPr>
        <w:t>10</w:t>
      </w:r>
      <w:r>
        <w:rPr>
          <w:rFonts w:hint="eastAsia" w:ascii="仿宋" w:hAnsi="仿宋" w:eastAsia="仿宋"/>
          <w:color w:val="auto"/>
          <w:sz w:val="24"/>
          <w:szCs w:val="28"/>
          <w:highlight w:val="none"/>
        </w:rPr>
        <w:t>:30（北京时间）在谈判地点开启。</w:t>
      </w:r>
    </w:p>
    <w:p w14:paraId="2DF6E844">
      <w:pPr>
        <w:pStyle w:val="4"/>
        <w:ind w:firstLine="482" w:firstLineChars="200"/>
        <w:rPr>
          <w:rFonts w:ascii="仿宋" w:hAnsi="仿宋" w:eastAsia="仿宋"/>
          <w:color w:val="auto"/>
          <w:sz w:val="24"/>
          <w:szCs w:val="28"/>
          <w:highlight w:val="none"/>
        </w:rPr>
      </w:pPr>
      <w:r>
        <w:rPr>
          <w:rFonts w:hint="eastAsia" w:ascii="仿宋" w:hAnsi="仿宋" w:eastAsia="仿宋"/>
          <w:color w:val="auto"/>
          <w:sz w:val="24"/>
          <w:szCs w:val="28"/>
          <w:highlight w:val="none"/>
        </w:rPr>
        <w:t>九、谈判</w:t>
      </w:r>
      <w:r>
        <w:rPr>
          <w:rFonts w:ascii="仿宋" w:hAnsi="仿宋" w:eastAsia="仿宋"/>
          <w:color w:val="auto"/>
          <w:sz w:val="24"/>
          <w:szCs w:val="28"/>
          <w:highlight w:val="none"/>
        </w:rPr>
        <w:t>地点：</w:t>
      </w:r>
      <w:r>
        <w:rPr>
          <w:rFonts w:hint="eastAsia" w:ascii="仿宋" w:hAnsi="仿宋" w:eastAsia="仿宋"/>
          <w:color w:val="auto"/>
          <w:sz w:val="24"/>
          <w:szCs w:val="28"/>
          <w:highlight w:val="none"/>
        </w:rPr>
        <w:t>中国（四川）自由贸易试验区成都市高新区天府四街66号</w:t>
      </w:r>
      <w:r>
        <w:rPr>
          <w:rFonts w:ascii="仿宋" w:hAnsi="仿宋" w:eastAsia="仿宋"/>
          <w:color w:val="auto"/>
          <w:sz w:val="24"/>
          <w:szCs w:val="28"/>
          <w:highlight w:val="none"/>
        </w:rPr>
        <w:t>1</w:t>
      </w:r>
      <w:r>
        <w:rPr>
          <w:rFonts w:hint="eastAsia" w:ascii="仿宋" w:hAnsi="仿宋" w:eastAsia="仿宋"/>
          <w:color w:val="auto"/>
          <w:sz w:val="24"/>
          <w:szCs w:val="28"/>
          <w:highlight w:val="none"/>
        </w:rPr>
        <w:t>栋</w:t>
      </w:r>
      <w:r>
        <w:rPr>
          <w:rFonts w:hint="eastAsia" w:ascii="仿宋" w:hAnsi="仿宋" w:eastAsia="仿宋"/>
          <w:color w:val="auto"/>
          <w:sz w:val="24"/>
          <w:szCs w:val="28"/>
          <w:highlight w:val="none"/>
          <w:lang w:val="en-US" w:eastAsia="zh-CN"/>
        </w:rPr>
        <w:t>17</w:t>
      </w:r>
      <w:r>
        <w:rPr>
          <w:rFonts w:hint="eastAsia" w:ascii="仿宋" w:hAnsi="仿宋" w:eastAsia="仿宋"/>
          <w:color w:val="auto"/>
          <w:sz w:val="24"/>
          <w:szCs w:val="28"/>
          <w:highlight w:val="none"/>
        </w:rPr>
        <w:t>层。</w:t>
      </w:r>
    </w:p>
    <w:p w14:paraId="69295406">
      <w:pPr>
        <w:pStyle w:val="4"/>
        <w:ind w:firstLine="482" w:firstLineChars="200"/>
        <w:rPr>
          <w:rFonts w:ascii="仿宋" w:hAnsi="仿宋" w:eastAsia="仿宋"/>
          <w:color w:val="auto"/>
          <w:sz w:val="24"/>
          <w:highlight w:val="none"/>
        </w:rPr>
      </w:pPr>
      <w:r>
        <w:rPr>
          <w:rFonts w:hint="eastAsia" w:ascii="仿宋" w:hAnsi="仿宋" w:eastAsia="仿宋"/>
          <w:color w:val="auto"/>
          <w:sz w:val="24"/>
          <w:highlight w:val="none"/>
        </w:rPr>
        <w:t>十、联系方式</w:t>
      </w:r>
    </w:p>
    <w:p w14:paraId="56301479">
      <w:pPr>
        <w:pStyle w:val="4"/>
        <w:spacing w:line="360" w:lineRule="auto"/>
        <w:ind w:firstLine="482"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采购人：成都市技师学院</w:t>
      </w:r>
    </w:p>
    <w:p w14:paraId="43E995D0">
      <w:pPr>
        <w:pStyle w:val="60"/>
        <w:ind w:firstLine="480"/>
        <w:rPr>
          <w:rFonts w:ascii="仿宋" w:hAnsi="仿宋" w:eastAsia="仿宋"/>
          <w:color w:val="auto"/>
          <w:sz w:val="24"/>
          <w:highlight w:val="none"/>
        </w:rPr>
      </w:pPr>
      <w:r>
        <w:rPr>
          <w:rFonts w:hint="eastAsia" w:ascii="仿宋" w:hAnsi="仿宋" w:eastAsia="仿宋"/>
          <w:color w:val="auto"/>
          <w:sz w:val="24"/>
          <w:highlight w:val="none"/>
        </w:rPr>
        <w:t>地址：成都市郫都区红光街道港通北三路1899号</w:t>
      </w:r>
    </w:p>
    <w:p w14:paraId="3CD1AB63">
      <w:pPr>
        <w:pStyle w:val="60"/>
        <w:ind w:firstLine="480"/>
        <w:rPr>
          <w:rFonts w:ascii="仿宋" w:hAnsi="仿宋" w:eastAsia="仿宋"/>
          <w:color w:val="auto"/>
          <w:sz w:val="24"/>
          <w:highlight w:val="none"/>
        </w:rPr>
      </w:pPr>
      <w:r>
        <w:rPr>
          <w:rFonts w:hint="eastAsia" w:ascii="仿宋" w:hAnsi="仿宋" w:eastAsia="仿宋"/>
          <w:color w:val="auto"/>
          <w:sz w:val="24"/>
          <w:highlight w:val="none"/>
        </w:rPr>
        <w:t>联系人：王老师</w:t>
      </w:r>
    </w:p>
    <w:p w14:paraId="6A8FB858">
      <w:pPr>
        <w:pStyle w:val="60"/>
        <w:ind w:firstLine="480"/>
        <w:rPr>
          <w:rFonts w:ascii="仿宋" w:hAnsi="仿宋" w:eastAsia="仿宋"/>
          <w:color w:val="auto"/>
          <w:sz w:val="24"/>
          <w:highlight w:val="none"/>
        </w:rPr>
      </w:pPr>
      <w:r>
        <w:rPr>
          <w:rFonts w:hint="eastAsia" w:ascii="仿宋" w:hAnsi="仿宋" w:eastAsia="仿宋"/>
          <w:color w:val="auto"/>
          <w:sz w:val="24"/>
          <w:highlight w:val="none"/>
        </w:rPr>
        <w:t>联系电话：028-64907283</w:t>
      </w:r>
    </w:p>
    <w:p w14:paraId="23CC5DE3">
      <w:pPr>
        <w:pStyle w:val="60"/>
        <w:ind w:firstLine="890" w:firstLineChars="371"/>
        <w:rPr>
          <w:rFonts w:ascii="仿宋" w:hAnsi="仿宋" w:eastAsia="仿宋"/>
          <w:color w:val="auto"/>
          <w:sz w:val="24"/>
          <w:highlight w:val="none"/>
        </w:rPr>
      </w:pPr>
    </w:p>
    <w:p w14:paraId="59EB84D9">
      <w:pPr>
        <w:pStyle w:val="60"/>
        <w:ind w:firstLine="482"/>
        <w:rPr>
          <w:rFonts w:ascii="仿宋" w:hAnsi="仿宋" w:eastAsia="仿宋"/>
          <w:b/>
          <w:bCs/>
          <w:color w:val="auto"/>
          <w:sz w:val="24"/>
          <w:highlight w:val="none"/>
        </w:rPr>
      </w:pPr>
      <w:r>
        <w:rPr>
          <w:rFonts w:hint="eastAsia" w:ascii="仿宋" w:hAnsi="仿宋" w:eastAsia="仿宋"/>
          <w:b/>
          <w:bCs/>
          <w:color w:val="auto"/>
          <w:sz w:val="24"/>
          <w:highlight w:val="none"/>
        </w:rPr>
        <w:t>采购代理机构：四川国际招标有限责任公司</w:t>
      </w:r>
    </w:p>
    <w:p w14:paraId="772CB230">
      <w:pPr>
        <w:pStyle w:val="60"/>
        <w:ind w:firstLine="480"/>
        <w:rPr>
          <w:rFonts w:ascii="仿宋" w:hAnsi="仿宋" w:eastAsia="仿宋"/>
          <w:color w:val="auto"/>
          <w:sz w:val="24"/>
          <w:highlight w:val="none"/>
        </w:rPr>
      </w:pPr>
      <w:r>
        <w:rPr>
          <w:rFonts w:hint="eastAsia" w:ascii="仿宋" w:hAnsi="仿宋" w:eastAsia="仿宋"/>
          <w:color w:val="auto"/>
          <w:sz w:val="24"/>
          <w:highlight w:val="none"/>
        </w:rPr>
        <w:t>地址：中国（四川）自由贸易试验区成都市高新区天府四街66号2栋22层1号</w:t>
      </w:r>
    </w:p>
    <w:p w14:paraId="7339DC04">
      <w:pPr>
        <w:pStyle w:val="60"/>
        <w:ind w:firstLine="480"/>
        <w:rPr>
          <w:rFonts w:hint="eastAsia" w:ascii="仿宋" w:hAnsi="仿宋" w:eastAsia="仿宋"/>
          <w:color w:val="auto"/>
          <w:sz w:val="24"/>
          <w:highlight w:val="none"/>
          <w:lang w:eastAsia="zh-CN"/>
        </w:rPr>
      </w:pPr>
      <w:r>
        <w:rPr>
          <w:rFonts w:hint="eastAsia" w:ascii="仿宋" w:hAnsi="仿宋" w:eastAsia="仿宋"/>
          <w:color w:val="auto"/>
          <w:sz w:val="24"/>
          <w:highlight w:val="none"/>
        </w:rPr>
        <w:t>联系人：</w:t>
      </w:r>
      <w:r>
        <w:rPr>
          <w:rFonts w:hint="eastAsia" w:ascii="仿宋" w:hAnsi="仿宋" w:eastAsia="仿宋"/>
          <w:color w:val="auto"/>
          <w:sz w:val="24"/>
          <w:highlight w:val="none"/>
          <w:lang w:val="en-US" w:eastAsia="zh-CN"/>
        </w:rPr>
        <w:t>谢先生</w:t>
      </w:r>
    </w:p>
    <w:p w14:paraId="4988AA77">
      <w:pPr>
        <w:pStyle w:val="60"/>
        <w:ind w:firstLine="480"/>
        <w:rPr>
          <w:rFonts w:hint="eastAsia" w:ascii="仿宋" w:hAnsi="仿宋" w:eastAsia="仿宋"/>
          <w:color w:val="auto"/>
          <w:sz w:val="24"/>
          <w:highlight w:val="none"/>
        </w:rPr>
      </w:pPr>
      <w:r>
        <w:rPr>
          <w:rFonts w:hint="eastAsia" w:ascii="仿宋" w:hAnsi="仿宋" w:eastAsia="仿宋"/>
          <w:color w:val="auto"/>
          <w:sz w:val="24"/>
          <w:highlight w:val="none"/>
        </w:rPr>
        <w:t>电  话：15680425248</w:t>
      </w:r>
    </w:p>
    <w:p w14:paraId="2EBB3C4A">
      <w:pPr>
        <w:widowControl/>
        <w:jc w:val="left"/>
        <w:rPr>
          <w:rFonts w:ascii="仿宋" w:hAnsi="仿宋" w:eastAsia="仿宋"/>
          <w:color w:val="auto"/>
          <w:sz w:val="24"/>
          <w:szCs w:val="28"/>
          <w:highlight w:val="none"/>
        </w:rPr>
      </w:pPr>
      <w:bookmarkStart w:id="7" w:name="_Toc213396759"/>
      <w:bookmarkStart w:id="8" w:name="_Toc217446031"/>
      <w:bookmarkStart w:id="9" w:name="_Toc213496267"/>
      <w:bookmarkStart w:id="10" w:name="_Toc213396945"/>
      <w:bookmarkStart w:id="11" w:name="_Toc213397009"/>
      <w:r>
        <w:rPr>
          <w:rFonts w:ascii="仿宋" w:hAnsi="仿宋" w:eastAsia="仿宋"/>
          <w:b/>
          <w:bCs/>
          <w:color w:val="auto"/>
          <w:sz w:val="24"/>
          <w:szCs w:val="28"/>
          <w:highlight w:val="none"/>
        </w:rPr>
        <w:br w:type="page"/>
      </w:r>
    </w:p>
    <w:p w14:paraId="0ED5E407">
      <w:pPr>
        <w:pStyle w:val="38"/>
        <w:rPr>
          <w:rFonts w:ascii="仿宋" w:hAnsi="仿宋" w:eastAsia="仿宋"/>
          <w:color w:val="auto"/>
          <w:highlight w:val="none"/>
        </w:rPr>
      </w:pPr>
      <w:bookmarkStart w:id="12" w:name="_Toc94214576"/>
      <w:r>
        <w:rPr>
          <w:rFonts w:hint="eastAsia" w:ascii="仿宋" w:hAnsi="仿宋" w:eastAsia="仿宋"/>
          <w:color w:val="auto"/>
          <w:highlight w:val="none"/>
        </w:rPr>
        <w:t>第二章  谈判须知</w:t>
      </w:r>
      <w:bookmarkEnd w:id="7"/>
      <w:bookmarkEnd w:id="8"/>
      <w:bookmarkEnd w:id="9"/>
      <w:bookmarkEnd w:id="10"/>
      <w:bookmarkEnd w:id="11"/>
      <w:bookmarkEnd w:id="12"/>
    </w:p>
    <w:p w14:paraId="58A11E9B">
      <w:pPr>
        <w:pStyle w:val="4"/>
        <w:keepNext w:val="0"/>
        <w:keepLines w:val="0"/>
        <w:spacing w:before="0" w:after="0" w:line="360" w:lineRule="auto"/>
        <w:jc w:val="center"/>
        <w:rPr>
          <w:rFonts w:ascii="仿宋" w:hAnsi="仿宋" w:eastAsia="仿宋"/>
          <w:color w:val="auto"/>
          <w:highlight w:val="none"/>
        </w:rPr>
      </w:pPr>
      <w:r>
        <w:rPr>
          <w:rFonts w:hint="eastAsia" w:ascii="仿宋" w:hAnsi="仿宋" w:eastAsia="仿宋"/>
          <w:color w:val="auto"/>
          <w:highlight w:val="none"/>
        </w:rPr>
        <w:t>一、供应商须知附表</w:t>
      </w:r>
    </w:p>
    <w:tbl>
      <w:tblPr>
        <w:tblStyle w:val="41"/>
        <w:tblW w:w="5016"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886"/>
        <w:gridCol w:w="1642"/>
        <w:gridCol w:w="5821"/>
      </w:tblGrid>
      <w:tr w14:paraId="16C197C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31" w:type="pct"/>
            <w:tcBorders>
              <w:top w:val="single" w:color="auto" w:sz="4" w:space="0"/>
              <w:left w:val="single" w:color="auto" w:sz="4" w:space="0"/>
              <w:bottom w:val="single" w:color="auto" w:sz="4" w:space="0"/>
              <w:right w:val="single" w:color="auto" w:sz="4" w:space="0"/>
            </w:tcBorders>
            <w:vAlign w:val="center"/>
          </w:tcPr>
          <w:p w14:paraId="097B8119">
            <w:pPr>
              <w:pStyle w:val="64"/>
              <w:spacing w:line="360" w:lineRule="auto"/>
              <w:ind w:left="9"/>
              <w:jc w:val="center"/>
              <w:rPr>
                <w:rFonts w:ascii="仿宋" w:hAnsi="仿宋" w:eastAsia="仿宋"/>
                <w:b/>
                <w:bCs/>
                <w:color w:val="auto"/>
                <w:sz w:val="21"/>
                <w:szCs w:val="21"/>
                <w:highlight w:val="none"/>
                <w:lang w:val="zh-CN"/>
              </w:rPr>
            </w:pPr>
            <w:r>
              <w:rPr>
                <w:rFonts w:hint="eastAsia" w:ascii="仿宋" w:hAnsi="仿宋" w:eastAsia="仿宋"/>
                <w:b/>
                <w:bCs/>
                <w:color w:val="auto"/>
                <w:sz w:val="21"/>
                <w:szCs w:val="21"/>
                <w:highlight w:val="none"/>
                <w:lang w:val="zh-CN"/>
              </w:rPr>
              <w:t>序号</w:t>
            </w:r>
            <w:r>
              <w:rPr>
                <w:rFonts w:ascii="仿宋" w:hAnsi="仿宋" w:eastAsia="仿宋"/>
                <w:b/>
                <w:bCs/>
                <w:color w:val="auto"/>
                <w:sz w:val="21"/>
                <w:szCs w:val="21"/>
                <w:highlight w:val="none"/>
                <w:lang w:val="zh-CN"/>
              </w:rPr>
              <w:t xml:space="preserve"> </w:t>
            </w:r>
          </w:p>
        </w:tc>
        <w:tc>
          <w:tcPr>
            <w:tcW w:w="983" w:type="pct"/>
            <w:tcBorders>
              <w:top w:val="single" w:color="auto" w:sz="4" w:space="0"/>
              <w:left w:val="single" w:color="auto" w:sz="4" w:space="0"/>
              <w:bottom w:val="single" w:color="auto" w:sz="4" w:space="0"/>
              <w:right w:val="single" w:color="auto" w:sz="4" w:space="0"/>
            </w:tcBorders>
            <w:vAlign w:val="center"/>
          </w:tcPr>
          <w:p w14:paraId="0FF1F870">
            <w:pPr>
              <w:pStyle w:val="64"/>
              <w:spacing w:line="360" w:lineRule="auto"/>
              <w:ind w:left="38"/>
              <w:jc w:val="center"/>
              <w:rPr>
                <w:rFonts w:ascii="仿宋" w:hAnsi="仿宋" w:eastAsia="仿宋"/>
                <w:b/>
                <w:bCs/>
                <w:color w:val="auto"/>
                <w:sz w:val="21"/>
                <w:szCs w:val="21"/>
                <w:highlight w:val="none"/>
                <w:lang w:val="zh-CN"/>
              </w:rPr>
            </w:pPr>
            <w:r>
              <w:rPr>
                <w:rFonts w:hint="eastAsia" w:ascii="仿宋" w:hAnsi="仿宋" w:eastAsia="仿宋"/>
                <w:b/>
                <w:bCs/>
                <w:color w:val="auto"/>
                <w:sz w:val="21"/>
                <w:szCs w:val="21"/>
                <w:highlight w:val="none"/>
                <w:lang w:val="zh-CN"/>
              </w:rPr>
              <w:t>应知事项</w:t>
            </w:r>
            <w:r>
              <w:rPr>
                <w:rFonts w:ascii="仿宋" w:hAnsi="仿宋" w:eastAsia="仿宋"/>
                <w:b/>
                <w:bCs/>
                <w:color w:val="auto"/>
                <w:sz w:val="21"/>
                <w:szCs w:val="21"/>
                <w:highlight w:val="none"/>
                <w:lang w:val="zh-CN"/>
              </w:rPr>
              <w:t xml:space="preserve"> </w:t>
            </w:r>
          </w:p>
        </w:tc>
        <w:tc>
          <w:tcPr>
            <w:tcW w:w="3485" w:type="pct"/>
            <w:tcBorders>
              <w:top w:val="single" w:color="auto" w:sz="4" w:space="0"/>
              <w:left w:val="single" w:color="auto" w:sz="4" w:space="0"/>
              <w:bottom w:val="single" w:color="auto" w:sz="4" w:space="0"/>
              <w:right w:val="single" w:color="auto" w:sz="4" w:space="0"/>
            </w:tcBorders>
            <w:vAlign w:val="center"/>
          </w:tcPr>
          <w:p w14:paraId="07168C15">
            <w:pPr>
              <w:pStyle w:val="64"/>
              <w:spacing w:line="360" w:lineRule="auto"/>
              <w:jc w:val="center"/>
              <w:rPr>
                <w:rFonts w:ascii="仿宋" w:hAnsi="仿宋" w:eastAsia="仿宋"/>
                <w:b/>
                <w:bCs/>
                <w:color w:val="auto"/>
                <w:sz w:val="21"/>
                <w:szCs w:val="21"/>
                <w:highlight w:val="none"/>
                <w:lang w:val="zh-CN"/>
              </w:rPr>
            </w:pPr>
            <w:r>
              <w:rPr>
                <w:rFonts w:hint="eastAsia" w:ascii="仿宋" w:hAnsi="仿宋" w:eastAsia="仿宋"/>
                <w:b/>
                <w:bCs/>
                <w:color w:val="auto"/>
                <w:sz w:val="21"/>
                <w:szCs w:val="21"/>
                <w:highlight w:val="none"/>
                <w:lang w:val="zh-CN"/>
              </w:rPr>
              <w:t>说明和要求</w:t>
            </w:r>
          </w:p>
        </w:tc>
      </w:tr>
      <w:tr w14:paraId="6F4E00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7A6682D7">
            <w:pPr>
              <w:pStyle w:val="64"/>
              <w:spacing w:line="360" w:lineRule="auto"/>
              <w:ind w:right="230"/>
              <w:jc w:val="center"/>
              <w:rPr>
                <w:rFonts w:ascii="仿宋" w:hAnsi="仿宋" w:eastAsia="仿宋" w:cs="Courier New"/>
                <w:color w:val="auto"/>
                <w:sz w:val="21"/>
                <w:szCs w:val="21"/>
                <w:highlight w:val="none"/>
                <w:lang w:val="zh-CN"/>
              </w:rPr>
            </w:pPr>
            <w:r>
              <w:rPr>
                <w:rFonts w:hint="eastAsia" w:ascii="仿宋" w:hAnsi="仿宋" w:eastAsia="仿宋" w:cs="Courier New"/>
                <w:color w:val="auto"/>
                <w:sz w:val="21"/>
                <w:szCs w:val="21"/>
                <w:highlight w:val="none"/>
                <w:lang w:val="zh-CN"/>
              </w:rPr>
              <w:t>1</w:t>
            </w:r>
          </w:p>
        </w:tc>
        <w:tc>
          <w:tcPr>
            <w:tcW w:w="983" w:type="pct"/>
            <w:tcBorders>
              <w:top w:val="single" w:color="auto" w:sz="4" w:space="0"/>
              <w:left w:val="single" w:color="auto" w:sz="4" w:space="0"/>
              <w:bottom w:val="single" w:color="auto" w:sz="4" w:space="0"/>
              <w:right w:val="single" w:color="auto" w:sz="4" w:space="0"/>
            </w:tcBorders>
            <w:vAlign w:val="center"/>
          </w:tcPr>
          <w:p w14:paraId="3DE9069B">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采购预算</w:t>
            </w:r>
          </w:p>
          <w:p w14:paraId="24598792">
            <w:pPr>
              <w:pStyle w:val="64"/>
              <w:spacing w:line="360" w:lineRule="auto"/>
              <w:ind w:left="38"/>
              <w:jc w:val="center"/>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（实质性要求）</w:t>
            </w:r>
          </w:p>
        </w:tc>
        <w:tc>
          <w:tcPr>
            <w:tcW w:w="3485" w:type="pct"/>
            <w:tcBorders>
              <w:top w:val="single" w:color="auto" w:sz="4" w:space="0"/>
              <w:left w:val="single" w:color="auto" w:sz="4" w:space="0"/>
              <w:bottom w:val="single" w:color="auto" w:sz="4" w:space="0"/>
              <w:right w:val="single" w:color="auto" w:sz="4" w:space="0"/>
            </w:tcBorders>
          </w:tcPr>
          <w:p w14:paraId="42676797">
            <w:pPr>
              <w:pStyle w:val="64"/>
              <w:spacing w:line="360" w:lineRule="auto"/>
              <w:ind w:firstLine="210" w:firstLineChars="1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89.4</w:t>
            </w:r>
            <w:r>
              <w:rPr>
                <w:rFonts w:hint="eastAsia" w:ascii="仿宋" w:hAnsi="仿宋" w:eastAsia="仿宋"/>
                <w:color w:val="auto"/>
                <w:sz w:val="21"/>
                <w:szCs w:val="21"/>
                <w:highlight w:val="none"/>
                <w:lang w:val="en-US" w:eastAsia="zh-CN"/>
              </w:rPr>
              <w:t>万</w:t>
            </w:r>
            <w:r>
              <w:rPr>
                <w:rFonts w:hint="eastAsia" w:ascii="仿宋" w:hAnsi="仿宋" w:eastAsia="仿宋"/>
                <w:color w:val="auto"/>
                <w:sz w:val="21"/>
                <w:szCs w:val="21"/>
                <w:highlight w:val="none"/>
                <w:lang w:val="zh-CN"/>
              </w:rPr>
              <w:t>元</w:t>
            </w:r>
          </w:p>
          <w:p w14:paraId="6C91BD0D">
            <w:pPr>
              <w:pStyle w:val="64"/>
              <w:spacing w:line="360" w:lineRule="auto"/>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报价超过采购预算,其响应文件按无效处理。</w:t>
            </w:r>
          </w:p>
        </w:tc>
      </w:tr>
      <w:tr w14:paraId="69846C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4F56FEB0">
            <w:pPr>
              <w:pStyle w:val="64"/>
              <w:spacing w:line="360" w:lineRule="auto"/>
              <w:ind w:right="230"/>
              <w:jc w:val="center"/>
              <w:rPr>
                <w:rFonts w:ascii="仿宋" w:hAnsi="仿宋" w:eastAsia="仿宋" w:cs="Courier New"/>
                <w:color w:val="auto"/>
                <w:sz w:val="21"/>
                <w:szCs w:val="21"/>
                <w:highlight w:val="none"/>
                <w:lang w:val="zh-CN"/>
              </w:rPr>
            </w:pPr>
            <w:r>
              <w:rPr>
                <w:rFonts w:hint="eastAsia" w:ascii="仿宋" w:hAnsi="仿宋" w:eastAsia="仿宋" w:cs="Courier New"/>
                <w:color w:val="auto"/>
                <w:sz w:val="21"/>
                <w:szCs w:val="21"/>
                <w:highlight w:val="none"/>
                <w:lang w:val="zh-CN"/>
              </w:rPr>
              <w:t>2</w:t>
            </w:r>
          </w:p>
        </w:tc>
        <w:tc>
          <w:tcPr>
            <w:tcW w:w="983" w:type="pct"/>
            <w:tcBorders>
              <w:top w:val="single" w:color="auto" w:sz="4" w:space="0"/>
              <w:left w:val="single" w:color="auto" w:sz="4" w:space="0"/>
              <w:bottom w:val="single" w:color="auto" w:sz="4" w:space="0"/>
              <w:right w:val="single" w:color="auto" w:sz="4" w:space="0"/>
            </w:tcBorders>
            <w:vAlign w:val="center"/>
          </w:tcPr>
          <w:p w14:paraId="2E891C41">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最高限价</w:t>
            </w:r>
          </w:p>
          <w:p w14:paraId="7E8139CF">
            <w:pPr>
              <w:pStyle w:val="64"/>
              <w:spacing w:line="360" w:lineRule="auto"/>
              <w:ind w:left="38"/>
              <w:jc w:val="center"/>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（实质性要求）</w:t>
            </w:r>
          </w:p>
        </w:tc>
        <w:tc>
          <w:tcPr>
            <w:tcW w:w="3485" w:type="pct"/>
            <w:tcBorders>
              <w:top w:val="single" w:color="auto" w:sz="4" w:space="0"/>
              <w:left w:val="single" w:color="auto" w:sz="4" w:space="0"/>
              <w:bottom w:val="single" w:color="auto" w:sz="4" w:space="0"/>
              <w:right w:val="single" w:color="auto" w:sz="4" w:space="0"/>
            </w:tcBorders>
            <w:vAlign w:val="center"/>
          </w:tcPr>
          <w:p w14:paraId="0192FA17">
            <w:pPr>
              <w:pStyle w:val="64"/>
              <w:spacing w:line="360" w:lineRule="auto"/>
              <w:ind w:firstLine="210" w:firstLineChars="100"/>
              <w:jc w:val="both"/>
              <w:rPr>
                <w:rFonts w:hint="eastAsia" w:ascii="仿宋" w:hAnsi="仿宋" w:eastAsia="仿宋"/>
                <w:color w:val="auto"/>
                <w:sz w:val="21"/>
                <w:szCs w:val="21"/>
                <w:highlight w:val="none"/>
                <w:lang w:val="zh-CN"/>
              </w:rPr>
            </w:pPr>
            <w:bookmarkStart w:id="13" w:name="PO_默认文件内容_8"/>
            <w:r>
              <w:rPr>
                <w:rFonts w:hint="eastAsia" w:ascii="仿宋" w:hAnsi="仿宋" w:eastAsia="仿宋"/>
                <w:color w:val="auto"/>
                <w:sz w:val="21"/>
                <w:szCs w:val="21"/>
                <w:highlight w:val="none"/>
                <w:lang w:val="zh-CN"/>
              </w:rPr>
              <w:t>本工程</w:t>
            </w:r>
            <w:r>
              <w:rPr>
                <w:rFonts w:hint="eastAsia" w:ascii="仿宋" w:hAnsi="仿宋" w:eastAsia="仿宋"/>
                <w:color w:val="auto"/>
                <w:sz w:val="21"/>
                <w:szCs w:val="21"/>
                <w:highlight w:val="none"/>
                <w:lang w:val="en-US" w:eastAsia="zh-CN"/>
              </w:rPr>
              <w:t>最高限价</w:t>
            </w:r>
            <w:r>
              <w:rPr>
                <w:rFonts w:hint="eastAsia" w:ascii="仿宋" w:hAnsi="仿宋" w:eastAsia="仿宋"/>
                <w:color w:val="auto"/>
                <w:sz w:val="21"/>
                <w:szCs w:val="21"/>
                <w:highlight w:val="none"/>
                <w:lang w:val="zh-CN"/>
              </w:rPr>
              <w:t>为893941.11元（其中规费为19691.78元，安全文明施工费为46000.26元，暂列金为34973.95元）。</w:t>
            </w:r>
          </w:p>
          <w:p w14:paraId="6498E4F1">
            <w:pPr>
              <w:pStyle w:val="64"/>
              <w:spacing w:line="360" w:lineRule="auto"/>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报价超过最高限价,其响应文件按无效处理。</w:t>
            </w:r>
            <w:bookmarkEnd w:id="13"/>
          </w:p>
        </w:tc>
      </w:tr>
      <w:tr w14:paraId="66777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5A0AE45D">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3</w:t>
            </w:r>
          </w:p>
        </w:tc>
        <w:tc>
          <w:tcPr>
            <w:tcW w:w="983" w:type="pct"/>
            <w:tcBorders>
              <w:top w:val="single" w:color="auto" w:sz="4" w:space="0"/>
              <w:left w:val="single" w:color="auto" w:sz="4" w:space="0"/>
              <w:bottom w:val="single" w:color="auto" w:sz="4" w:space="0"/>
              <w:right w:val="single" w:color="auto" w:sz="4" w:space="0"/>
            </w:tcBorders>
            <w:vAlign w:val="center"/>
          </w:tcPr>
          <w:p w14:paraId="00C64C75">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低于成本价</w:t>
            </w:r>
          </w:p>
          <w:p w14:paraId="6F11855B">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不正当竞争预防措施</w:t>
            </w:r>
          </w:p>
          <w:p w14:paraId="6D837C19">
            <w:pPr>
              <w:pStyle w:val="64"/>
              <w:spacing w:line="360" w:lineRule="auto"/>
              <w:ind w:left="38"/>
              <w:jc w:val="center"/>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（实质性要求）</w:t>
            </w:r>
          </w:p>
        </w:tc>
        <w:tc>
          <w:tcPr>
            <w:tcW w:w="3485" w:type="pct"/>
            <w:tcBorders>
              <w:top w:val="single" w:color="auto" w:sz="4" w:space="0"/>
              <w:left w:val="single" w:color="auto" w:sz="4" w:space="0"/>
              <w:bottom w:val="single" w:color="auto" w:sz="4" w:space="0"/>
              <w:right w:val="single" w:color="auto" w:sz="4" w:space="0"/>
            </w:tcBorders>
          </w:tcPr>
          <w:p w14:paraId="4C445653">
            <w:pPr>
              <w:pStyle w:val="64"/>
              <w:spacing w:line="360" w:lineRule="auto"/>
              <w:ind w:firstLine="220" w:firstLineChars="100"/>
              <w:jc w:val="both"/>
              <w:rPr>
                <w:rFonts w:hint="eastAsia" w:eastAsia="宋体"/>
                <w:color w:val="auto"/>
                <w:highlight w:val="none"/>
                <w:lang w:val="zh-CN" w:eastAsia="zh-CN"/>
              </w:rPr>
            </w:pPr>
            <w:r>
              <w:rPr>
                <w:rFonts w:hint="eastAsia" w:ascii="仿宋" w:hAnsi="仿宋" w:eastAsia="仿宋" w:cs="仿宋"/>
                <w:color w:val="auto"/>
                <w:sz w:val="22"/>
                <w:szCs w:val="22"/>
                <w:highlight w:val="none"/>
                <w:lang w:val="en-US" w:eastAsia="zh-CN"/>
              </w:rPr>
              <w:t>在评审过程中，谈判小组认为供应商响应报价明显低于其他通过符合性审查供应商的响应报价，有可能影响产品质量或者不能诚信履约的，谈判小组应当要求其在合理的时间内进行书面说明、提交相关证明材料，并加盖鲜章。供应商拒绝或者变相拒绝提供有效书面说明或者书面说明不能证明其报价合理性的，谈判小组应当将其响应文件作为无效响应处理。（注：供应商报价低于最高限价85%或者低于其他有效供应商报价算术平均价90%的，谈判小组可以认为该供应商“报价明显低于其他实质性响应的供应商报价”。</w:t>
            </w:r>
          </w:p>
          <w:p w14:paraId="5FBFE606">
            <w:pPr>
              <w:pStyle w:val="64"/>
              <w:spacing w:line="360" w:lineRule="auto"/>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某供应商的报价（总价）明显低于其他响应报价的量化评审方法</w:t>
            </w:r>
          </w:p>
          <w:p w14:paraId="0E96CDC2">
            <w:pPr>
              <w:pStyle w:val="64"/>
              <w:spacing w:line="360" w:lineRule="auto"/>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（1）谈判小组对该供应商报价的单价等进行分析，对明显偏低的单项（不包括没有报价的单项）应当向其发出澄清函，要求该供应商作出书面说明并提供相关证明材料。</w:t>
            </w:r>
          </w:p>
          <w:p w14:paraId="5751892A">
            <w:pPr>
              <w:pStyle w:val="64"/>
              <w:spacing w:line="360" w:lineRule="auto"/>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w:t>
            </w:r>
            <w:r>
              <w:rPr>
                <w:rFonts w:hint="eastAsia" w:ascii="仿宋" w:hAnsi="仿宋" w:eastAsia="仿宋"/>
                <w:color w:val="auto"/>
                <w:sz w:val="21"/>
                <w:szCs w:val="21"/>
                <w:highlight w:val="none"/>
              </w:rPr>
              <w:t>2</w:t>
            </w:r>
            <w:r>
              <w:rPr>
                <w:rFonts w:hint="eastAsia" w:ascii="仿宋" w:hAnsi="仿宋" w:eastAsia="仿宋"/>
                <w:color w:val="auto"/>
                <w:sz w:val="21"/>
                <w:szCs w:val="21"/>
                <w:highlight w:val="none"/>
                <w:lang w:val="zh-CN"/>
              </w:rPr>
              <w:t>）谈判小组全体成员三分之二以上认为该供应商不能合理说明或者不能提供相关证明材料的，认定该供应商以低于成本报价竞标，其</w:t>
            </w:r>
            <w:r>
              <w:rPr>
                <w:rFonts w:hint="eastAsia" w:ascii="仿宋" w:hAnsi="仿宋" w:eastAsia="仿宋"/>
                <w:color w:val="auto"/>
                <w:sz w:val="21"/>
                <w:szCs w:val="21"/>
                <w:highlight w:val="none"/>
              </w:rPr>
              <w:t>响应</w:t>
            </w:r>
            <w:r>
              <w:rPr>
                <w:rFonts w:hint="eastAsia" w:ascii="仿宋" w:hAnsi="仿宋" w:eastAsia="仿宋"/>
                <w:color w:val="auto"/>
                <w:sz w:val="21"/>
                <w:szCs w:val="21"/>
                <w:highlight w:val="none"/>
                <w:lang w:val="zh-CN"/>
              </w:rPr>
              <w:t>应作无效处理。持有异议的谈判小组成员可以书面方式阐述其不同意见和理由，拒绝签字且不陈述其不同意见和理由的，视为同意。</w:t>
            </w:r>
          </w:p>
        </w:tc>
      </w:tr>
      <w:tr w14:paraId="73BFCA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59ED2A83">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4</w:t>
            </w:r>
          </w:p>
        </w:tc>
        <w:tc>
          <w:tcPr>
            <w:tcW w:w="983" w:type="pct"/>
            <w:tcBorders>
              <w:top w:val="single" w:color="auto" w:sz="4" w:space="0"/>
              <w:left w:val="single" w:color="auto" w:sz="4" w:space="0"/>
              <w:bottom w:val="single" w:color="auto" w:sz="4" w:space="0"/>
              <w:right w:val="single" w:color="auto" w:sz="4" w:space="0"/>
            </w:tcBorders>
            <w:vAlign w:val="center"/>
          </w:tcPr>
          <w:p w14:paraId="7ABB68E7">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谈判保证金</w:t>
            </w:r>
          </w:p>
        </w:tc>
        <w:tc>
          <w:tcPr>
            <w:tcW w:w="3485" w:type="pct"/>
            <w:tcBorders>
              <w:top w:val="single" w:color="auto" w:sz="4" w:space="0"/>
              <w:left w:val="single" w:color="auto" w:sz="4" w:space="0"/>
              <w:bottom w:val="single" w:color="auto" w:sz="4" w:space="0"/>
              <w:right w:val="single" w:color="auto" w:sz="4" w:space="0"/>
            </w:tcBorders>
            <w:vAlign w:val="center"/>
          </w:tcPr>
          <w:p w14:paraId="1CEA8ED4">
            <w:pPr>
              <w:pStyle w:val="64"/>
              <w:spacing w:line="340" w:lineRule="exact"/>
              <w:ind w:firstLine="211" w:firstLineChars="100"/>
              <w:jc w:val="both"/>
              <w:rPr>
                <w:rFonts w:ascii="仿宋" w:hAnsi="仿宋" w:eastAsia="仿宋"/>
                <w:b/>
                <w:color w:val="auto"/>
                <w:sz w:val="21"/>
                <w:szCs w:val="21"/>
                <w:highlight w:val="none"/>
              </w:rPr>
            </w:pPr>
            <w:r>
              <w:rPr>
                <w:rFonts w:hint="eastAsia" w:ascii="仿宋" w:hAnsi="仿宋" w:eastAsia="仿宋"/>
                <w:b/>
                <w:color w:val="auto"/>
                <w:sz w:val="21"/>
                <w:szCs w:val="21"/>
                <w:highlight w:val="none"/>
              </w:rPr>
              <w:t>本项目不收取谈判保证金。</w:t>
            </w:r>
          </w:p>
        </w:tc>
      </w:tr>
      <w:tr w14:paraId="68BCF3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7D08CBD1">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5</w:t>
            </w:r>
          </w:p>
        </w:tc>
        <w:tc>
          <w:tcPr>
            <w:tcW w:w="983" w:type="pct"/>
            <w:tcBorders>
              <w:top w:val="single" w:color="auto" w:sz="4" w:space="0"/>
              <w:left w:val="single" w:color="auto" w:sz="4" w:space="0"/>
              <w:bottom w:val="single" w:color="auto" w:sz="4" w:space="0"/>
              <w:right w:val="single" w:color="auto" w:sz="4" w:space="0"/>
            </w:tcBorders>
            <w:vAlign w:val="center"/>
          </w:tcPr>
          <w:p w14:paraId="45127732">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履约保证金</w:t>
            </w:r>
          </w:p>
        </w:tc>
        <w:tc>
          <w:tcPr>
            <w:tcW w:w="3485" w:type="pct"/>
            <w:tcBorders>
              <w:top w:val="single" w:color="auto" w:sz="4" w:space="0"/>
              <w:left w:val="single" w:color="auto" w:sz="4" w:space="0"/>
              <w:bottom w:val="single" w:color="auto" w:sz="4" w:space="0"/>
              <w:right w:val="single" w:color="auto" w:sz="4" w:space="0"/>
            </w:tcBorders>
            <w:vAlign w:val="center"/>
          </w:tcPr>
          <w:p w14:paraId="326A3EE3">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1.履约保证金为成交价格的（3%），供应商应在成交通知书发出之日起合同签订前以银行转账形式向采购人提交履约保证金。</w:t>
            </w:r>
          </w:p>
          <w:p w14:paraId="5B9699C5">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2.工程竣工后，履约保证金自动转为本工程质量保证金。</w:t>
            </w:r>
          </w:p>
          <w:p w14:paraId="30C4EA5D">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1）非防水工程质保期2年到期后，10个日历天内无息退还质量保证金（即履约保证金）的80%。</w:t>
            </w:r>
          </w:p>
          <w:p w14:paraId="7F9C76CE">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2）防水工程质保期5年到期后，10个日历天内无息退还至质量保证金（即履约保证金）的100%。</w:t>
            </w:r>
          </w:p>
          <w:p w14:paraId="05EC25E4">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3）因采购人原因逾期退还的，应当以未退还金额为基数，按合同订立时1年期贷款市场报价利率标准向供应商支付相应违约金，但违约金最高不得超过未退还金额的百分之五。若因供应商不及时提供或未提供“收到退还质保金的收据”、“售后服务验收报告单”、“质保金退还申请”的，则采购人不承担逾期退还违约责任。</w:t>
            </w:r>
          </w:p>
          <w:p w14:paraId="4ED83990">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3.履约保证金汇入的银行及账号：</w:t>
            </w:r>
          </w:p>
          <w:p w14:paraId="719A2AA5">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收款单位：成都市技师学院</w:t>
            </w:r>
          </w:p>
          <w:p w14:paraId="2C2847A6">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开户行：工行四川成都分行郫都红光支行</w:t>
            </w:r>
          </w:p>
          <w:p w14:paraId="0E05BB74">
            <w:pPr>
              <w:pStyle w:val="64"/>
              <w:spacing w:line="360" w:lineRule="auto"/>
              <w:ind w:firstLine="420" w:firstLineChars="200"/>
              <w:jc w:val="both"/>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银行账号：4402054609100031151</w:t>
            </w:r>
          </w:p>
          <w:p w14:paraId="48E3F8B5">
            <w:pPr>
              <w:pStyle w:val="64"/>
              <w:spacing w:line="360" w:lineRule="auto"/>
              <w:ind w:firstLine="420" w:firstLineChars="2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4.履约保证金不予退还情形：一是供应商未按合同要求履行的，其履约保证金（质保金）全部扣除。二是供应商交纳了履约保证金，但因自身原因被取消成交资格或在成交通知书发出之日起30日历天（含法定节假日）内供应商不按采购文件确定的事项与采购人签订合同的，其履约保证金不予退还。三是法律法规或合同约定的其他情形。</w:t>
            </w:r>
          </w:p>
        </w:tc>
      </w:tr>
      <w:tr w14:paraId="23DD99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19AF76E0">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6</w:t>
            </w:r>
          </w:p>
        </w:tc>
        <w:tc>
          <w:tcPr>
            <w:tcW w:w="983" w:type="pct"/>
            <w:tcBorders>
              <w:top w:val="single" w:color="auto" w:sz="4" w:space="0"/>
              <w:left w:val="single" w:color="auto" w:sz="4" w:space="0"/>
              <w:bottom w:val="single" w:color="auto" w:sz="4" w:space="0"/>
              <w:right w:val="single" w:color="auto" w:sz="4" w:space="0"/>
            </w:tcBorders>
            <w:vAlign w:val="center"/>
          </w:tcPr>
          <w:p w14:paraId="7053ABDD">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bCs/>
                <w:color w:val="auto"/>
                <w:sz w:val="21"/>
                <w:szCs w:val="21"/>
                <w:highlight w:val="none"/>
              </w:rPr>
              <w:t>谈判</w:t>
            </w:r>
            <w:r>
              <w:rPr>
                <w:rFonts w:hint="eastAsia" w:ascii="仿宋" w:hAnsi="仿宋" w:eastAsia="仿宋"/>
                <w:color w:val="auto"/>
                <w:sz w:val="21"/>
                <w:szCs w:val="21"/>
                <w:highlight w:val="none"/>
                <w:lang w:val="zh-CN"/>
              </w:rPr>
              <w:t>文件咨询</w:t>
            </w:r>
          </w:p>
        </w:tc>
        <w:tc>
          <w:tcPr>
            <w:tcW w:w="3485" w:type="pct"/>
            <w:tcBorders>
              <w:top w:val="single" w:color="auto" w:sz="4" w:space="0"/>
              <w:left w:val="single" w:color="auto" w:sz="4" w:space="0"/>
              <w:bottom w:val="single" w:color="auto" w:sz="4" w:space="0"/>
              <w:right w:val="single" w:color="auto" w:sz="4" w:space="0"/>
            </w:tcBorders>
            <w:vAlign w:val="center"/>
          </w:tcPr>
          <w:p w14:paraId="21E018D2">
            <w:pPr>
              <w:pStyle w:val="64"/>
              <w:spacing w:line="360" w:lineRule="auto"/>
              <w:ind w:firstLine="210" w:firstLineChars="100"/>
              <w:jc w:val="both"/>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rPr>
              <w:t>联系人：</w:t>
            </w:r>
            <w:r>
              <w:rPr>
                <w:rFonts w:hint="eastAsia" w:ascii="仿宋" w:hAnsi="仿宋" w:eastAsia="仿宋"/>
                <w:color w:val="auto"/>
                <w:sz w:val="21"/>
                <w:szCs w:val="21"/>
                <w:highlight w:val="none"/>
                <w:lang w:val="en-US" w:eastAsia="zh-CN"/>
              </w:rPr>
              <w:t>谢先生</w:t>
            </w:r>
          </w:p>
          <w:p w14:paraId="69F0151A">
            <w:pPr>
              <w:pStyle w:val="64"/>
              <w:spacing w:line="360" w:lineRule="auto"/>
              <w:ind w:firstLine="210" w:firstLineChars="100"/>
              <w:jc w:val="both"/>
              <w:rPr>
                <w:rFonts w:ascii="仿宋" w:hAnsi="仿宋" w:eastAsia="仿宋"/>
                <w:color w:val="auto"/>
                <w:sz w:val="21"/>
                <w:szCs w:val="21"/>
                <w:highlight w:val="none"/>
              </w:rPr>
            </w:pPr>
            <w:r>
              <w:rPr>
                <w:rFonts w:hint="eastAsia" w:ascii="仿宋" w:hAnsi="仿宋" w:eastAsia="仿宋"/>
                <w:color w:val="auto"/>
                <w:sz w:val="21"/>
                <w:szCs w:val="21"/>
                <w:highlight w:val="none"/>
              </w:rPr>
              <w:t>电  话：15680425248</w:t>
            </w:r>
          </w:p>
        </w:tc>
      </w:tr>
      <w:tr w14:paraId="7ABD14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63A47A1C">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7</w:t>
            </w:r>
          </w:p>
        </w:tc>
        <w:tc>
          <w:tcPr>
            <w:tcW w:w="983" w:type="pct"/>
            <w:tcBorders>
              <w:top w:val="single" w:color="auto" w:sz="4" w:space="0"/>
              <w:left w:val="single" w:color="auto" w:sz="4" w:space="0"/>
              <w:bottom w:val="single" w:color="auto" w:sz="4" w:space="0"/>
              <w:right w:val="single" w:color="auto" w:sz="4" w:space="0"/>
            </w:tcBorders>
            <w:vAlign w:val="center"/>
          </w:tcPr>
          <w:p w14:paraId="1134520B">
            <w:pPr>
              <w:pStyle w:val="64"/>
              <w:spacing w:line="360" w:lineRule="auto"/>
              <w:ind w:left="38"/>
              <w:jc w:val="center"/>
              <w:rPr>
                <w:rFonts w:ascii="仿宋" w:hAnsi="仿宋" w:eastAsia="仿宋" w:cs="Courier New"/>
                <w:color w:val="auto"/>
                <w:sz w:val="21"/>
                <w:szCs w:val="21"/>
                <w:highlight w:val="none"/>
                <w:lang w:val="zh-CN"/>
              </w:rPr>
            </w:pPr>
            <w:r>
              <w:rPr>
                <w:rFonts w:hint="eastAsia" w:ascii="仿宋" w:hAnsi="仿宋" w:eastAsia="仿宋" w:cs="Courier New"/>
                <w:color w:val="auto"/>
                <w:sz w:val="21"/>
                <w:szCs w:val="21"/>
                <w:highlight w:val="none"/>
                <w:lang w:val="zh-CN"/>
              </w:rPr>
              <w:t>谈判过程、结果工作咨询</w:t>
            </w:r>
          </w:p>
        </w:tc>
        <w:tc>
          <w:tcPr>
            <w:tcW w:w="3485" w:type="pct"/>
            <w:tcBorders>
              <w:top w:val="single" w:color="auto" w:sz="4" w:space="0"/>
              <w:left w:val="single" w:color="auto" w:sz="4" w:space="0"/>
              <w:bottom w:val="single" w:color="auto" w:sz="4" w:space="0"/>
              <w:right w:val="single" w:color="auto" w:sz="4" w:space="0"/>
            </w:tcBorders>
            <w:vAlign w:val="center"/>
          </w:tcPr>
          <w:p w14:paraId="73672A8F">
            <w:pPr>
              <w:pStyle w:val="64"/>
              <w:spacing w:line="360" w:lineRule="auto"/>
              <w:ind w:firstLine="210" w:firstLineChars="100"/>
              <w:jc w:val="both"/>
              <w:rPr>
                <w:rFonts w:hint="eastAsia" w:ascii="仿宋" w:hAnsi="仿宋" w:eastAsia="仿宋" w:cs="Courier New"/>
                <w:color w:val="auto"/>
                <w:sz w:val="21"/>
                <w:szCs w:val="21"/>
                <w:highlight w:val="none"/>
                <w:lang w:eastAsia="zh-CN"/>
              </w:rPr>
            </w:pPr>
            <w:r>
              <w:rPr>
                <w:rFonts w:hint="eastAsia" w:ascii="仿宋" w:hAnsi="仿宋" w:eastAsia="仿宋" w:cs="Courier New"/>
                <w:color w:val="auto"/>
                <w:sz w:val="21"/>
                <w:szCs w:val="21"/>
                <w:highlight w:val="none"/>
              </w:rPr>
              <w:t>联系人：</w:t>
            </w:r>
            <w:r>
              <w:rPr>
                <w:rFonts w:hint="eastAsia" w:ascii="仿宋" w:hAnsi="仿宋" w:eastAsia="仿宋" w:cs="Courier New"/>
                <w:color w:val="auto"/>
                <w:sz w:val="21"/>
                <w:szCs w:val="21"/>
                <w:highlight w:val="none"/>
                <w:lang w:val="en-US" w:eastAsia="zh-CN"/>
              </w:rPr>
              <w:t>谢先生</w:t>
            </w:r>
          </w:p>
          <w:p w14:paraId="045D40A0">
            <w:pPr>
              <w:pStyle w:val="64"/>
              <w:spacing w:line="360" w:lineRule="auto"/>
              <w:ind w:firstLine="210" w:firstLineChars="100"/>
              <w:jc w:val="both"/>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电  话：15680425248</w:t>
            </w:r>
          </w:p>
        </w:tc>
      </w:tr>
      <w:tr w14:paraId="38A8C6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550AA895">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8</w:t>
            </w:r>
          </w:p>
        </w:tc>
        <w:tc>
          <w:tcPr>
            <w:tcW w:w="983" w:type="pct"/>
            <w:tcBorders>
              <w:top w:val="single" w:color="auto" w:sz="4" w:space="0"/>
              <w:left w:val="single" w:color="auto" w:sz="4" w:space="0"/>
              <w:bottom w:val="single" w:color="auto" w:sz="4" w:space="0"/>
              <w:right w:val="single" w:color="auto" w:sz="4" w:space="0"/>
            </w:tcBorders>
            <w:vAlign w:val="center"/>
          </w:tcPr>
          <w:p w14:paraId="4E966B82">
            <w:pPr>
              <w:pStyle w:val="64"/>
              <w:spacing w:line="360" w:lineRule="auto"/>
              <w:ind w:left="38"/>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成交通知书领取</w:t>
            </w:r>
          </w:p>
        </w:tc>
        <w:tc>
          <w:tcPr>
            <w:tcW w:w="3485" w:type="pct"/>
            <w:tcBorders>
              <w:top w:val="single" w:color="auto" w:sz="4" w:space="0"/>
              <w:left w:val="single" w:color="auto" w:sz="4" w:space="0"/>
              <w:bottom w:val="single" w:color="auto" w:sz="4" w:space="0"/>
              <w:right w:val="single" w:color="auto" w:sz="4" w:space="0"/>
            </w:tcBorders>
            <w:vAlign w:val="center"/>
          </w:tcPr>
          <w:p w14:paraId="6743ED3B">
            <w:pPr>
              <w:pStyle w:val="64"/>
              <w:spacing w:line="360" w:lineRule="auto"/>
              <w:ind w:firstLine="210" w:firstLineChars="100"/>
              <w:rPr>
                <w:rFonts w:ascii="仿宋" w:hAnsi="仿宋" w:eastAsia="仿宋"/>
                <w:color w:val="auto"/>
                <w:sz w:val="21"/>
                <w:szCs w:val="21"/>
                <w:highlight w:val="none"/>
                <w:lang w:val="zh-CN"/>
              </w:rPr>
            </w:pPr>
            <w:bookmarkStart w:id="14" w:name="PO_默认文件内容_19"/>
            <w:r>
              <w:rPr>
                <w:rFonts w:hint="eastAsia" w:ascii="仿宋" w:hAnsi="仿宋" w:eastAsia="仿宋"/>
                <w:color w:val="auto"/>
                <w:sz w:val="21"/>
                <w:szCs w:val="21"/>
                <w:highlight w:val="none"/>
                <w:lang w:val="zh-CN"/>
              </w:rPr>
              <w:t>采购结果公告在中国招标投标公共服务平台上发布后，请登录我司网站http://sale.scbid.net/ 办理代理服务费缴纳及成交通知书领取的事宜。</w:t>
            </w:r>
          </w:p>
          <w:p w14:paraId="66E4019A">
            <w:pPr>
              <w:pStyle w:val="64"/>
              <w:spacing w:line="360" w:lineRule="auto"/>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成交通知书领取：财务部 028-87797107转1</w:t>
            </w:r>
          </w:p>
          <w:p w14:paraId="54B3B221">
            <w:pPr>
              <w:pStyle w:val="64"/>
              <w:spacing w:line="360" w:lineRule="auto"/>
              <w:ind w:firstLine="210" w:firstLineChars="100"/>
              <w:jc w:val="both"/>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地址：中国（四川）自由贸易试验区成都市高新区天府四街66号2栋22层1号。</w:t>
            </w:r>
            <w:bookmarkEnd w:id="14"/>
          </w:p>
        </w:tc>
      </w:tr>
      <w:tr w14:paraId="5D9A0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0A25814B">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9</w:t>
            </w:r>
          </w:p>
        </w:tc>
        <w:tc>
          <w:tcPr>
            <w:tcW w:w="983" w:type="pct"/>
            <w:tcBorders>
              <w:top w:val="single" w:color="auto" w:sz="4" w:space="0"/>
              <w:left w:val="single" w:color="auto" w:sz="4" w:space="0"/>
              <w:bottom w:val="single" w:color="auto" w:sz="4" w:space="0"/>
              <w:right w:val="single" w:color="auto" w:sz="4" w:space="0"/>
            </w:tcBorders>
            <w:vAlign w:val="center"/>
          </w:tcPr>
          <w:p w14:paraId="6192ABBD">
            <w:pPr>
              <w:pStyle w:val="64"/>
              <w:spacing w:line="360" w:lineRule="auto"/>
              <w:ind w:left="38"/>
              <w:jc w:val="center"/>
              <w:rPr>
                <w:rFonts w:ascii="仿宋" w:hAnsi="仿宋" w:eastAsia="仿宋" w:cs="Courier New"/>
                <w:color w:val="auto"/>
                <w:sz w:val="21"/>
                <w:szCs w:val="21"/>
                <w:highlight w:val="none"/>
                <w:lang w:val="zh-CN"/>
              </w:rPr>
            </w:pPr>
            <w:r>
              <w:rPr>
                <w:rFonts w:hint="eastAsia" w:ascii="仿宋" w:hAnsi="仿宋" w:eastAsia="仿宋" w:cs="Courier New"/>
                <w:color w:val="auto"/>
                <w:sz w:val="21"/>
                <w:szCs w:val="21"/>
                <w:highlight w:val="none"/>
                <w:lang w:val="zh-CN"/>
              </w:rPr>
              <w:t>供应商询问</w:t>
            </w:r>
          </w:p>
        </w:tc>
        <w:tc>
          <w:tcPr>
            <w:tcW w:w="3485" w:type="pct"/>
            <w:tcBorders>
              <w:top w:val="single" w:color="auto" w:sz="4" w:space="0"/>
              <w:left w:val="single" w:color="auto" w:sz="4" w:space="0"/>
              <w:bottom w:val="single" w:color="auto" w:sz="4" w:space="0"/>
              <w:right w:val="single" w:color="auto" w:sz="4" w:space="0"/>
            </w:tcBorders>
          </w:tcPr>
          <w:p w14:paraId="586948EE">
            <w:pPr>
              <w:pStyle w:val="64"/>
              <w:spacing w:line="360" w:lineRule="auto"/>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根据委托代理协议约定，供应商询问由采购代理机构负责统一答复。</w:t>
            </w:r>
          </w:p>
          <w:p w14:paraId="01093706">
            <w:pPr>
              <w:pStyle w:val="64"/>
              <w:spacing w:line="360" w:lineRule="auto"/>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项目问题询问：</w:t>
            </w:r>
          </w:p>
          <w:p w14:paraId="79AF22C7">
            <w:pPr>
              <w:pStyle w:val="64"/>
              <w:spacing w:line="360" w:lineRule="auto"/>
              <w:ind w:firstLine="210" w:firstLineChars="100"/>
              <w:rPr>
                <w:rFonts w:hint="eastAsia" w:ascii="仿宋" w:hAnsi="仿宋" w:eastAsia="仿宋"/>
                <w:color w:val="auto"/>
                <w:sz w:val="21"/>
                <w:szCs w:val="21"/>
                <w:highlight w:val="none"/>
                <w:lang w:val="zh-CN" w:eastAsia="zh-CN"/>
              </w:rPr>
            </w:pPr>
            <w:r>
              <w:rPr>
                <w:rFonts w:hint="eastAsia" w:ascii="仿宋" w:hAnsi="仿宋" w:eastAsia="仿宋"/>
                <w:color w:val="auto"/>
                <w:sz w:val="21"/>
                <w:szCs w:val="21"/>
                <w:highlight w:val="none"/>
                <w:lang w:val="zh-CN"/>
              </w:rPr>
              <w:t>联系人：</w:t>
            </w:r>
            <w:r>
              <w:rPr>
                <w:rFonts w:hint="eastAsia" w:ascii="仿宋" w:hAnsi="仿宋" w:eastAsia="仿宋"/>
                <w:color w:val="auto"/>
                <w:sz w:val="21"/>
                <w:szCs w:val="21"/>
                <w:highlight w:val="none"/>
                <w:lang w:val="zh-CN" w:eastAsia="zh-CN"/>
              </w:rPr>
              <w:t>谢先生</w:t>
            </w:r>
          </w:p>
          <w:p w14:paraId="2C0433C7">
            <w:pPr>
              <w:pStyle w:val="64"/>
              <w:spacing w:line="360" w:lineRule="auto"/>
              <w:ind w:firstLine="210" w:firstLineChars="100"/>
              <w:rPr>
                <w:rFonts w:hint="eastAsia"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电  话：15680425248</w:t>
            </w:r>
          </w:p>
          <w:p w14:paraId="5EF2068D">
            <w:pPr>
              <w:pStyle w:val="64"/>
              <w:spacing w:line="360" w:lineRule="auto"/>
              <w:ind w:firstLine="210" w:firstLineChars="100"/>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服务质量投诉：企业发展部 028-87793117</w:t>
            </w:r>
          </w:p>
          <w:p w14:paraId="76648F06">
            <w:pPr>
              <w:pStyle w:val="64"/>
              <w:spacing w:line="360" w:lineRule="auto"/>
              <w:ind w:firstLine="210" w:firstLineChars="100"/>
              <w:rPr>
                <w:rFonts w:ascii="仿宋" w:hAnsi="仿宋" w:eastAsia="仿宋" w:cs="Courier New"/>
                <w:color w:val="auto"/>
                <w:sz w:val="21"/>
                <w:szCs w:val="21"/>
                <w:highlight w:val="none"/>
                <w:lang w:val="zh-CN"/>
              </w:rPr>
            </w:pPr>
            <w:r>
              <w:rPr>
                <w:rFonts w:hint="eastAsia" w:ascii="仿宋" w:hAnsi="仿宋" w:eastAsia="仿宋"/>
                <w:color w:val="auto"/>
                <w:sz w:val="21"/>
                <w:szCs w:val="21"/>
                <w:highlight w:val="none"/>
                <w:lang w:val="zh-CN"/>
              </w:rPr>
              <w:t>联系地址：中国（四川）自由贸易试验区成都市高新区天府四街66号2栋22层1号。</w:t>
            </w:r>
          </w:p>
        </w:tc>
      </w:tr>
      <w:tr w14:paraId="1196BF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1557706C">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10</w:t>
            </w:r>
          </w:p>
        </w:tc>
        <w:tc>
          <w:tcPr>
            <w:tcW w:w="983" w:type="pct"/>
            <w:tcBorders>
              <w:top w:val="single" w:color="auto" w:sz="4" w:space="0"/>
              <w:left w:val="single" w:color="auto" w:sz="4" w:space="0"/>
              <w:bottom w:val="single" w:color="auto" w:sz="4" w:space="0"/>
              <w:right w:val="single" w:color="auto" w:sz="4" w:space="0"/>
            </w:tcBorders>
            <w:vAlign w:val="center"/>
          </w:tcPr>
          <w:p w14:paraId="420E942E">
            <w:pPr>
              <w:pStyle w:val="64"/>
              <w:spacing w:line="360" w:lineRule="auto"/>
              <w:ind w:left="96"/>
              <w:jc w:val="center"/>
              <w:rPr>
                <w:rFonts w:ascii="仿宋" w:hAnsi="仿宋" w:eastAsia="仿宋" w:cs="Courier New"/>
                <w:color w:val="auto"/>
                <w:sz w:val="21"/>
                <w:szCs w:val="21"/>
                <w:highlight w:val="none"/>
                <w:lang w:val="zh-CN"/>
              </w:rPr>
            </w:pPr>
            <w:r>
              <w:rPr>
                <w:rFonts w:hint="eastAsia" w:ascii="仿宋" w:hAnsi="仿宋" w:eastAsia="仿宋" w:cs="Courier New"/>
                <w:color w:val="auto"/>
                <w:sz w:val="21"/>
                <w:szCs w:val="21"/>
                <w:highlight w:val="none"/>
                <w:lang w:val="zh-CN"/>
              </w:rPr>
              <w:t>成交服务费</w:t>
            </w:r>
          </w:p>
        </w:tc>
        <w:tc>
          <w:tcPr>
            <w:tcW w:w="3485" w:type="pct"/>
            <w:tcBorders>
              <w:top w:val="single" w:color="auto" w:sz="4" w:space="0"/>
              <w:left w:val="single" w:color="auto" w:sz="4" w:space="0"/>
              <w:bottom w:val="single" w:color="auto" w:sz="4" w:space="0"/>
              <w:right w:val="single" w:color="auto" w:sz="4" w:space="0"/>
            </w:tcBorders>
            <w:vAlign w:val="center"/>
          </w:tcPr>
          <w:p w14:paraId="5D76C122">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依照成本加合理利润的原则,以成交金额作为计算基数, 按下列收费标准</w:t>
            </w:r>
            <w:r>
              <w:rPr>
                <w:rFonts w:hint="eastAsia" w:ascii="仿宋" w:hAnsi="仿宋" w:eastAsia="仿宋" w:cs="Courier New"/>
                <w:color w:val="auto"/>
                <w:szCs w:val="21"/>
                <w:highlight w:val="none"/>
              </w:rPr>
              <w:t>下浮25%</w:t>
            </w:r>
            <w:r>
              <w:rPr>
                <w:rFonts w:hint="eastAsia" w:ascii="仿宋" w:hAnsi="仿宋" w:eastAsia="仿宋" w:cs="Courier New"/>
                <w:color w:val="auto"/>
                <w:szCs w:val="21"/>
                <w:highlight w:val="none"/>
                <w:lang w:val="zh-CN"/>
              </w:rPr>
              <w:t>:</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346"/>
              <w:gridCol w:w="1345"/>
              <w:gridCol w:w="1346"/>
            </w:tblGrid>
            <w:tr w14:paraId="5F72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827" w:type="dxa"/>
                  <w:tcBorders>
                    <w:top w:val="single" w:color="auto" w:sz="4" w:space="0"/>
                    <w:left w:val="single" w:color="auto" w:sz="4" w:space="0"/>
                    <w:bottom w:val="single" w:color="auto" w:sz="4" w:space="0"/>
                    <w:right w:val="single" w:color="auto" w:sz="4" w:space="0"/>
                  </w:tcBorders>
                </w:tcPr>
                <w:p w14:paraId="41EDD56B">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服务类型</w:t>
                  </w:r>
                </w:p>
                <w:p w14:paraId="4F549B1F">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费率</w:t>
                  </w:r>
                </w:p>
                <w:p w14:paraId="39BD4840">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成交金额（万元）</w:t>
                  </w:r>
                </w:p>
              </w:tc>
              <w:tc>
                <w:tcPr>
                  <w:tcW w:w="1478" w:type="dxa"/>
                  <w:tcBorders>
                    <w:top w:val="single" w:color="auto" w:sz="4" w:space="0"/>
                    <w:left w:val="single" w:color="auto" w:sz="4" w:space="0"/>
                    <w:bottom w:val="single" w:color="auto" w:sz="4" w:space="0"/>
                    <w:right w:val="single" w:color="auto" w:sz="4" w:space="0"/>
                  </w:tcBorders>
                  <w:vAlign w:val="center"/>
                </w:tcPr>
                <w:p w14:paraId="7353FE80">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货物类</w:t>
                  </w:r>
                </w:p>
              </w:tc>
              <w:tc>
                <w:tcPr>
                  <w:tcW w:w="1477" w:type="dxa"/>
                  <w:tcBorders>
                    <w:top w:val="single" w:color="auto" w:sz="4" w:space="0"/>
                    <w:left w:val="single" w:color="auto" w:sz="4" w:space="0"/>
                    <w:bottom w:val="single" w:color="auto" w:sz="4" w:space="0"/>
                    <w:right w:val="single" w:color="auto" w:sz="4" w:space="0"/>
                  </w:tcBorders>
                  <w:vAlign w:val="center"/>
                </w:tcPr>
                <w:p w14:paraId="63B60150">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服务类</w:t>
                  </w:r>
                </w:p>
              </w:tc>
              <w:tc>
                <w:tcPr>
                  <w:tcW w:w="1478" w:type="dxa"/>
                  <w:tcBorders>
                    <w:top w:val="single" w:color="auto" w:sz="4" w:space="0"/>
                    <w:left w:val="single" w:color="auto" w:sz="4" w:space="0"/>
                    <w:bottom w:val="single" w:color="auto" w:sz="4" w:space="0"/>
                    <w:right w:val="single" w:color="auto" w:sz="4" w:space="0"/>
                  </w:tcBorders>
                  <w:vAlign w:val="center"/>
                </w:tcPr>
                <w:p w14:paraId="32D7D1B3">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工程类</w:t>
                  </w:r>
                </w:p>
              </w:tc>
            </w:tr>
            <w:tr w14:paraId="5F46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827" w:type="dxa"/>
                  <w:tcBorders>
                    <w:top w:val="single" w:color="auto" w:sz="4" w:space="0"/>
                    <w:left w:val="single" w:color="auto" w:sz="4" w:space="0"/>
                    <w:bottom w:val="single" w:color="auto" w:sz="4" w:space="0"/>
                    <w:right w:val="single" w:color="auto" w:sz="4" w:space="0"/>
                  </w:tcBorders>
                </w:tcPr>
                <w:p w14:paraId="1401CA5B">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100以下</w:t>
                  </w:r>
                </w:p>
              </w:tc>
              <w:tc>
                <w:tcPr>
                  <w:tcW w:w="1478" w:type="dxa"/>
                  <w:tcBorders>
                    <w:top w:val="single" w:color="auto" w:sz="4" w:space="0"/>
                    <w:left w:val="single" w:color="auto" w:sz="4" w:space="0"/>
                    <w:bottom w:val="single" w:color="auto" w:sz="4" w:space="0"/>
                    <w:right w:val="single" w:color="auto" w:sz="4" w:space="0"/>
                  </w:tcBorders>
                </w:tcPr>
                <w:p w14:paraId="4336C99A">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1.5%</w:t>
                  </w:r>
                </w:p>
              </w:tc>
              <w:tc>
                <w:tcPr>
                  <w:tcW w:w="1477" w:type="dxa"/>
                  <w:tcBorders>
                    <w:top w:val="single" w:color="auto" w:sz="4" w:space="0"/>
                    <w:left w:val="single" w:color="auto" w:sz="4" w:space="0"/>
                    <w:bottom w:val="single" w:color="auto" w:sz="4" w:space="0"/>
                    <w:right w:val="single" w:color="auto" w:sz="4" w:space="0"/>
                  </w:tcBorders>
                </w:tcPr>
                <w:p w14:paraId="753B64F1">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1.5%</w:t>
                  </w:r>
                </w:p>
              </w:tc>
              <w:tc>
                <w:tcPr>
                  <w:tcW w:w="1478" w:type="dxa"/>
                  <w:tcBorders>
                    <w:top w:val="single" w:color="auto" w:sz="4" w:space="0"/>
                    <w:left w:val="single" w:color="auto" w:sz="4" w:space="0"/>
                    <w:bottom w:val="single" w:color="auto" w:sz="4" w:space="0"/>
                    <w:right w:val="single" w:color="auto" w:sz="4" w:space="0"/>
                  </w:tcBorders>
                </w:tcPr>
                <w:p w14:paraId="6C269638">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1.0%</w:t>
                  </w:r>
                </w:p>
              </w:tc>
            </w:tr>
            <w:tr w14:paraId="49EC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58880F98">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100-500</w:t>
                  </w:r>
                </w:p>
              </w:tc>
              <w:tc>
                <w:tcPr>
                  <w:tcW w:w="1478" w:type="dxa"/>
                  <w:tcBorders>
                    <w:top w:val="single" w:color="auto" w:sz="4" w:space="0"/>
                    <w:left w:val="single" w:color="auto" w:sz="4" w:space="0"/>
                    <w:bottom w:val="single" w:color="auto" w:sz="4" w:space="0"/>
                    <w:right w:val="single" w:color="auto" w:sz="4" w:space="0"/>
                  </w:tcBorders>
                </w:tcPr>
                <w:p w14:paraId="062AFD32">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1.1%</w:t>
                  </w:r>
                </w:p>
              </w:tc>
              <w:tc>
                <w:tcPr>
                  <w:tcW w:w="1477" w:type="dxa"/>
                  <w:tcBorders>
                    <w:top w:val="single" w:color="auto" w:sz="4" w:space="0"/>
                    <w:left w:val="single" w:color="auto" w:sz="4" w:space="0"/>
                    <w:bottom w:val="single" w:color="auto" w:sz="4" w:space="0"/>
                    <w:right w:val="single" w:color="auto" w:sz="4" w:space="0"/>
                  </w:tcBorders>
                </w:tcPr>
                <w:p w14:paraId="018D3756">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0.8%</w:t>
                  </w:r>
                </w:p>
              </w:tc>
              <w:tc>
                <w:tcPr>
                  <w:tcW w:w="1478" w:type="dxa"/>
                  <w:tcBorders>
                    <w:top w:val="single" w:color="auto" w:sz="4" w:space="0"/>
                    <w:left w:val="single" w:color="auto" w:sz="4" w:space="0"/>
                    <w:bottom w:val="single" w:color="auto" w:sz="4" w:space="0"/>
                    <w:right w:val="single" w:color="auto" w:sz="4" w:space="0"/>
                  </w:tcBorders>
                </w:tcPr>
                <w:p w14:paraId="16FAE4CC">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0.7%</w:t>
                  </w:r>
                </w:p>
              </w:tc>
            </w:tr>
            <w:tr w14:paraId="7B0F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33A1A4AD">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500-1000</w:t>
                  </w:r>
                </w:p>
              </w:tc>
              <w:tc>
                <w:tcPr>
                  <w:tcW w:w="1478" w:type="dxa"/>
                  <w:tcBorders>
                    <w:top w:val="single" w:color="auto" w:sz="4" w:space="0"/>
                    <w:left w:val="single" w:color="auto" w:sz="4" w:space="0"/>
                    <w:bottom w:val="single" w:color="auto" w:sz="4" w:space="0"/>
                    <w:right w:val="single" w:color="auto" w:sz="4" w:space="0"/>
                  </w:tcBorders>
                </w:tcPr>
                <w:p w14:paraId="7690D3ED">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0.8%</w:t>
                  </w:r>
                </w:p>
              </w:tc>
              <w:tc>
                <w:tcPr>
                  <w:tcW w:w="1477" w:type="dxa"/>
                  <w:tcBorders>
                    <w:top w:val="single" w:color="auto" w:sz="4" w:space="0"/>
                    <w:left w:val="single" w:color="auto" w:sz="4" w:space="0"/>
                    <w:bottom w:val="single" w:color="auto" w:sz="4" w:space="0"/>
                    <w:right w:val="single" w:color="auto" w:sz="4" w:space="0"/>
                  </w:tcBorders>
                </w:tcPr>
                <w:p w14:paraId="60DC9352">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0.45%</w:t>
                  </w:r>
                </w:p>
              </w:tc>
              <w:tc>
                <w:tcPr>
                  <w:tcW w:w="1478" w:type="dxa"/>
                  <w:tcBorders>
                    <w:top w:val="single" w:color="auto" w:sz="4" w:space="0"/>
                    <w:left w:val="single" w:color="auto" w:sz="4" w:space="0"/>
                    <w:bottom w:val="single" w:color="auto" w:sz="4" w:space="0"/>
                    <w:right w:val="single" w:color="auto" w:sz="4" w:space="0"/>
                  </w:tcBorders>
                </w:tcPr>
                <w:p w14:paraId="610D74E4">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0.55%</w:t>
                  </w:r>
                </w:p>
              </w:tc>
            </w:tr>
            <w:tr w14:paraId="2599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5518E145">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1000-5000</w:t>
                  </w:r>
                </w:p>
              </w:tc>
              <w:tc>
                <w:tcPr>
                  <w:tcW w:w="1478" w:type="dxa"/>
                  <w:tcBorders>
                    <w:top w:val="single" w:color="auto" w:sz="4" w:space="0"/>
                    <w:left w:val="single" w:color="auto" w:sz="4" w:space="0"/>
                    <w:bottom w:val="single" w:color="auto" w:sz="4" w:space="0"/>
                    <w:right w:val="single" w:color="auto" w:sz="4" w:space="0"/>
                  </w:tcBorders>
                </w:tcPr>
                <w:p w14:paraId="6FBBFE7B">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0.5%</w:t>
                  </w:r>
                </w:p>
              </w:tc>
              <w:tc>
                <w:tcPr>
                  <w:tcW w:w="1477" w:type="dxa"/>
                  <w:tcBorders>
                    <w:top w:val="single" w:color="auto" w:sz="4" w:space="0"/>
                    <w:left w:val="single" w:color="auto" w:sz="4" w:space="0"/>
                    <w:bottom w:val="single" w:color="auto" w:sz="4" w:space="0"/>
                    <w:right w:val="single" w:color="auto" w:sz="4" w:space="0"/>
                  </w:tcBorders>
                </w:tcPr>
                <w:p w14:paraId="6163E34F">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0.25%</w:t>
                  </w:r>
                </w:p>
              </w:tc>
              <w:tc>
                <w:tcPr>
                  <w:tcW w:w="1478" w:type="dxa"/>
                  <w:tcBorders>
                    <w:top w:val="single" w:color="auto" w:sz="4" w:space="0"/>
                    <w:left w:val="single" w:color="auto" w:sz="4" w:space="0"/>
                    <w:bottom w:val="single" w:color="auto" w:sz="4" w:space="0"/>
                    <w:right w:val="single" w:color="auto" w:sz="4" w:space="0"/>
                  </w:tcBorders>
                </w:tcPr>
                <w:p w14:paraId="2C370FC3">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0.35%</w:t>
                  </w:r>
                </w:p>
              </w:tc>
            </w:tr>
            <w:tr w14:paraId="0DE7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6015E1AC">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5000-10000</w:t>
                  </w:r>
                </w:p>
              </w:tc>
              <w:tc>
                <w:tcPr>
                  <w:tcW w:w="1478" w:type="dxa"/>
                  <w:tcBorders>
                    <w:top w:val="single" w:color="auto" w:sz="4" w:space="0"/>
                    <w:left w:val="single" w:color="auto" w:sz="4" w:space="0"/>
                    <w:bottom w:val="single" w:color="auto" w:sz="4" w:space="0"/>
                    <w:right w:val="single" w:color="auto" w:sz="4" w:space="0"/>
                  </w:tcBorders>
                </w:tcPr>
                <w:p w14:paraId="46A2DC3E">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0.25%</w:t>
                  </w:r>
                </w:p>
              </w:tc>
              <w:tc>
                <w:tcPr>
                  <w:tcW w:w="1477" w:type="dxa"/>
                  <w:tcBorders>
                    <w:top w:val="single" w:color="auto" w:sz="4" w:space="0"/>
                    <w:left w:val="single" w:color="auto" w:sz="4" w:space="0"/>
                    <w:bottom w:val="single" w:color="auto" w:sz="4" w:space="0"/>
                    <w:right w:val="single" w:color="auto" w:sz="4" w:space="0"/>
                  </w:tcBorders>
                </w:tcPr>
                <w:p w14:paraId="3F560E74">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0.1%</w:t>
                  </w:r>
                </w:p>
              </w:tc>
              <w:tc>
                <w:tcPr>
                  <w:tcW w:w="1478" w:type="dxa"/>
                  <w:tcBorders>
                    <w:top w:val="single" w:color="auto" w:sz="4" w:space="0"/>
                    <w:left w:val="single" w:color="auto" w:sz="4" w:space="0"/>
                    <w:bottom w:val="single" w:color="auto" w:sz="4" w:space="0"/>
                    <w:right w:val="single" w:color="auto" w:sz="4" w:space="0"/>
                  </w:tcBorders>
                </w:tcPr>
                <w:p w14:paraId="2ACA7F77">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0.2%</w:t>
                  </w:r>
                </w:p>
              </w:tc>
            </w:tr>
            <w:tr w14:paraId="2B77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827" w:type="dxa"/>
                  <w:tcBorders>
                    <w:top w:val="single" w:color="auto" w:sz="4" w:space="0"/>
                    <w:left w:val="single" w:color="auto" w:sz="4" w:space="0"/>
                    <w:bottom w:val="single" w:color="auto" w:sz="4" w:space="0"/>
                    <w:right w:val="single" w:color="auto" w:sz="4" w:space="0"/>
                  </w:tcBorders>
                </w:tcPr>
                <w:p w14:paraId="4C32AD30">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10000-100000</w:t>
                  </w:r>
                </w:p>
              </w:tc>
              <w:tc>
                <w:tcPr>
                  <w:tcW w:w="1478" w:type="dxa"/>
                  <w:tcBorders>
                    <w:top w:val="single" w:color="auto" w:sz="4" w:space="0"/>
                    <w:left w:val="single" w:color="auto" w:sz="4" w:space="0"/>
                    <w:bottom w:val="single" w:color="auto" w:sz="4" w:space="0"/>
                    <w:right w:val="single" w:color="auto" w:sz="4" w:space="0"/>
                  </w:tcBorders>
                </w:tcPr>
                <w:p w14:paraId="5F542E0E">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0.05%</w:t>
                  </w:r>
                </w:p>
              </w:tc>
              <w:tc>
                <w:tcPr>
                  <w:tcW w:w="1477" w:type="dxa"/>
                  <w:tcBorders>
                    <w:top w:val="single" w:color="auto" w:sz="4" w:space="0"/>
                    <w:left w:val="single" w:color="auto" w:sz="4" w:space="0"/>
                    <w:bottom w:val="single" w:color="auto" w:sz="4" w:space="0"/>
                    <w:right w:val="single" w:color="auto" w:sz="4" w:space="0"/>
                  </w:tcBorders>
                </w:tcPr>
                <w:p w14:paraId="788569EA">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0.05%</w:t>
                  </w:r>
                </w:p>
              </w:tc>
              <w:tc>
                <w:tcPr>
                  <w:tcW w:w="1478" w:type="dxa"/>
                  <w:tcBorders>
                    <w:top w:val="single" w:color="auto" w:sz="4" w:space="0"/>
                    <w:left w:val="single" w:color="auto" w:sz="4" w:space="0"/>
                    <w:bottom w:val="single" w:color="auto" w:sz="4" w:space="0"/>
                    <w:right w:val="single" w:color="auto" w:sz="4" w:space="0"/>
                  </w:tcBorders>
                </w:tcPr>
                <w:p w14:paraId="2829ECFF">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0.05%</w:t>
                  </w:r>
                </w:p>
              </w:tc>
            </w:tr>
            <w:tr w14:paraId="095C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27" w:type="dxa"/>
                  <w:tcBorders>
                    <w:top w:val="single" w:color="auto" w:sz="4" w:space="0"/>
                    <w:left w:val="single" w:color="auto" w:sz="4" w:space="0"/>
                    <w:bottom w:val="single" w:color="auto" w:sz="4" w:space="0"/>
                    <w:right w:val="single" w:color="auto" w:sz="4" w:space="0"/>
                  </w:tcBorders>
                </w:tcPr>
                <w:p w14:paraId="64118852">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1000000以上</w:t>
                  </w:r>
                </w:p>
              </w:tc>
              <w:tc>
                <w:tcPr>
                  <w:tcW w:w="1478" w:type="dxa"/>
                  <w:tcBorders>
                    <w:top w:val="single" w:color="auto" w:sz="4" w:space="0"/>
                    <w:left w:val="single" w:color="auto" w:sz="4" w:space="0"/>
                    <w:bottom w:val="single" w:color="auto" w:sz="4" w:space="0"/>
                    <w:right w:val="single" w:color="auto" w:sz="4" w:space="0"/>
                  </w:tcBorders>
                </w:tcPr>
                <w:p w14:paraId="261EC1BA">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0.01%</w:t>
                  </w:r>
                </w:p>
              </w:tc>
              <w:tc>
                <w:tcPr>
                  <w:tcW w:w="1477" w:type="dxa"/>
                  <w:tcBorders>
                    <w:top w:val="single" w:color="auto" w:sz="4" w:space="0"/>
                    <w:left w:val="single" w:color="auto" w:sz="4" w:space="0"/>
                    <w:bottom w:val="single" w:color="auto" w:sz="4" w:space="0"/>
                    <w:right w:val="single" w:color="auto" w:sz="4" w:space="0"/>
                  </w:tcBorders>
                </w:tcPr>
                <w:p w14:paraId="08373BA1">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0.01%</w:t>
                  </w:r>
                </w:p>
              </w:tc>
              <w:tc>
                <w:tcPr>
                  <w:tcW w:w="1478" w:type="dxa"/>
                  <w:tcBorders>
                    <w:top w:val="single" w:color="auto" w:sz="4" w:space="0"/>
                    <w:left w:val="single" w:color="auto" w:sz="4" w:space="0"/>
                    <w:bottom w:val="single" w:color="auto" w:sz="4" w:space="0"/>
                    <w:right w:val="single" w:color="auto" w:sz="4" w:space="0"/>
                  </w:tcBorders>
                </w:tcPr>
                <w:p w14:paraId="5C045ED1">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0.01%</w:t>
                  </w:r>
                </w:p>
              </w:tc>
            </w:tr>
          </w:tbl>
          <w:p w14:paraId="75B06B0A">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注: 1.按本表费率计算的收费为采购代理服务全过程的收费基准价格。</w:t>
            </w:r>
          </w:p>
          <w:p w14:paraId="41C6594F">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 xml:space="preserve">    2.采购代理服务收费按差额定率累进法计算。</w:t>
            </w:r>
          </w:p>
          <w:p w14:paraId="30BB6C8F">
            <w:pPr>
              <w:autoSpaceDE w:val="0"/>
              <w:autoSpaceDN w:val="0"/>
              <w:adjustRightInd w:val="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 xml:space="preserve">    3.收款单位：四川国际招标有限责任公司</w:t>
            </w:r>
          </w:p>
          <w:p w14:paraId="38083DD5">
            <w:pPr>
              <w:autoSpaceDE w:val="0"/>
              <w:autoSpaceDN w:val="0"/>
              <w:adjustRightInd w:val="0"/>
              <w:ind w:firstLine="630" w:firstLineChars="30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开 户 行：中国民生银行股份有限公司成都分行营业部</w:t>
            </w:r>
          </w:p>
          <w:p w14:paraId="4871FDD6">
            <w:pPr>
              <w:autoSpaceDE w:val="0"/>
              <w:autoSpaceDN w:val="0"/>
              <w:adjustRightInd w:val="0"/>
              <w:ind w:firstLine="630" w:firstLineChars="300"/>
              <w:jc w:val="left"/>
              <w:rPr>
                <w:rFonts w:ascii="仿宋" w:hAnsi="仿宋" w:eastAsia="仿宋" w:cs="Courier New"/>
                <w:color w:val="auto"/>
                <w:szCs w:val="21"/>
                <w:highlight w:val="none"/>
                <w:lang w:val="zh-CN"/>
              </w:rPr>
            </w:pPr>
            <w:r>
              <w:rPr>
                <w:rFonts w:hint="eastAsia" w:ascii="仿宋" w:hAnsi="仿宋" w:eastAsia="仿宋" w:cs="Courier New"/>
                <w:color w:val="auto"/>
                <w:szCs w:val="21"/>
                <w:highlight w:val="none"/>
                <w:lang w:val="zh-CN"/>
              </w:rPr>
              <w:t>银行账号：9902001818596163</w:t>
            </w:r>
          </w:p>
          <w:p w14:paraId="18DE5F1C">
            <w:pPr>
              <w:widowControl/>
              <w:jc w:val="left"/>
              <w:rPr>
                <w:rFonts w:ascii="宋体" w:hAnsi="宋体" w:cs="宋体"/>
                <w:color w:val="auto"/>
                <w:kern w:val="0"/>
                <w:sz w:val="24"/>
                <w:highlight w:val="none"/>
              </w:rPr>
            </w:pPr>
            <w:r>
              <w:rPr>
                <w:rFonts w:hint="eastAsia" w:ascii="仿宋" w:hAnsi="仿宋" w:eastAsia="仿宋" w:cs="Courier New"/>
                <w:color w:val="auto"/>
                <w:szCs w:val="21"/>
                <w:highlight w:val="none"/>
                <w:lang w:val="zh-CN"/>
              </w:rPr>
              <w:t xml:space="preserve">    4.成交人在领取成交通知书前向采购代理机构交纳成交服务费。</w:t>
            </w:r>
            <w:r>
              <w:rPr>
                <w:rFonts w:hint="eastAsia" w:ascii="宋体" w:hAnsi="宋体" w:cs="宋体"/>
                <w:color w:val="auto"/>
                <w:kern w:val="0"/>
                <w:sz w:val="24"/>
                <w:highlight w:val="none"/>
              </w:rPr>
              <w:t xml:space="preserve"> </w:t>
            </w:r>
          </w:p>
        </w:tc>
      </w:tr>
      <w:tr w14:paraId="574ABC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00E1AF6C">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11</w:t>
            </w:r>
          </w:p>
        </w:tc>
        <w:tc>
          <w:tcPr>
            <w:tcW w:w="983" w:type="pct"/>
            <w:tcBorders>
              <w:top w:val="single" w:color="auto" w:sz="4" w:space="0"/>
              <w:left w:val="single" w:color="auto" w:sz="4" w:space="0"/>
              <w:bottom w:val="single" w:color="auto" w:sz="4" w:space="0"/>
              <w:right w:val="single" w:color="auto" w:sz="4" w:space="0"/>
            </w:tcBorders>
            <w:vAlign w:val="center"/>
          </w:tcPr>
          <w:p w14:paraId="4F3920D4">
            <w:pPr>
              <w:pStyle w:val="64"/>
              <w:spacing w:line="360" w:lineRule="auto"/>
              <w:ind w:left="96"/>
              <w:jc w:val="center"/>
              <w:rPr>
                <w:rFonts w:ascii="仿宋" w:hAnsi="仿宋" w:eastAsia="仿宋" w:cs="Courier New"/>
                <w:color w:val="auto"/>
                <w:sz w:val="21"/>
                <w:szCs w:val="21"/>
                <w:highlight w:val="none"/>
                <w:lang w:val="zh-CN"/>
              </w:rPr>
            </w:pPr>
            <w:r>
              <w:rPr>
                <w:rFonts w:hint="eastAsia" w:ascii="仿宋" w:hAnsi="仿宋" w:eastAsia="仿宋"/>
                <w:color w:val="auto"/>
                <w:sz w:val="21"/>
                <w:szCs w:val="21"/>
                <w:highlight w:val="none"/>
                <w:lang w:val="zh-CN"/>
              </w:rPr>
              <w:t>合同分</w:t>
            </w:r>
            <w:r>
              <w:rPr>
                <w:rFonts w:ascii="仿宋" w:hAnsi="仿宋" w:eastAsia="仿宋"/>
                <w:color w:val="auto"/>
                <w:sz w:val="21"/>
                <w:szCs w:val="21"/>
                <w:highlight w:val="none"/>
                <w:lang w:val="zh-CN"/>
              </w:rPr>
              <w:t>包</w:t>
            </w:r>
          </w:p>
        </w:tc>
        <w:tc>
          <w:tcPr>
            <w:tcW w:w="3485" w:type="pct"/>
            <w:tcBorders>
              <w:top w:val="single" w:color="auto" w:sz="4" w:space="0"/>
              <w:left w:val="single" w:color="auto" w:sz="4" w:space="0"/>
              <w:bottom w:val="single" w:color="auto" w:sz="4" w:space="0"/>
              <w:right w:val="single" w:color="auto" w:sz="4" w:space="0"/>
            </w:tcBorders>
            <w:vAlign w:val="center"/>
          </w:tcPr>
          <w:p w14:paraId="4BF6CEAA">
            <w:pPr>
              <w:pStyle w:val="64"/>
              <w:spacing w:line="360" w:lineRule="auto"/>
              <w:jc w:val="both"/>
              <w:rPr>
                <w:rFonts w:ascii="仿宋" w:hAnsi="仿宋" w:eastAsia="仿宋" w:cs="Courier New"/>
                <w:color w:val="auto"/>
                <w:sz w:val="21"/>
                <w:szCs w:val="21"/>
                <w:highlight w:val="none"/>
                <w:lang w:val="zh-CN"/>
              </w:rPr>
            </w:pPr>
            <w:r>
              <w:rPr>
                <w:rFonts w:hint="eastAsia" w:ascii="仿宋" w:hAnsi="仿宋" w:eastAsia="仿宋"/>
                <w:color w:val="auto"/>
                <w:sz w:val="21"/>
                <w:szCs w:val="21"/>
                <w:highlight w:val="none"/>
                <w:lang w:val="zh-CN"/>
              </w:rPr>
              <w:t>本项目不接受合同分包。</w:t>
            </w:r>
          </w:p>
        </w:tc>
      </w:tr>
      <w:tr w14:paraId="3DB7A7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31" w:type="pct"/>
            <w:tcBorders>
              <w:top w:val="single" w:color="auto" w:sz="4" w:space="0"/>
              <w:left w:val="single" w:color="auto" w:sz="4" w:space="0"/>
              <w:bottom w:val="single" w:color="auto" w:sz="4" w:space="0"/>
              <w:right w:val="single" w:color="auto" w:sz="4" w:space="0"/>
            </w:tcBorders>
            <w:vAlign w:val="center"/>
          </w:tcPr>
          <w:p w14:paraId="29551E2F">
            <w:pPr>
              <w:pStyle w:val="64"/>
              <w:spacing w:line="360" w:lineRule="auto"/>
              <w:ind w:right="230"/>
              <w:jc w:val="center"/>
              <w:rPr>
                <w:rFonts w:ascii="仿宋" w:hAnsi="仿宋" w:eastAsia="仿宋" w:cs="Courier New"/>
                <w:color w:val="auto"/>
                <w:sz w:val="21"/>
                <w:szCs w:val="21"/>
                <w:highlight w:val="none"/>
              </w:rPr>
            </w:pPr>
            <w:r>
              <w:rPr>
                <w:rFonts w:hint="eastAsia" w:ascii="仿宋" w:hAnsi="仿宋" w:eastAsia="仿宋" w:cs="Courier New"/>
                <w:color w:val="auto"/>
                <w:sz w:val="21"/>
                <w:szCs w:val="21"/>
                <w:highlight w:val="none"/>
              </w:rPr>
              <w:t>12</w:t>
            </w:r>
          </w:p>
        </w:tc>
        <w:tc>
          <w:tcPr>
            <w:tcW w:w="983" w:type="pct"/>
            <w:tcBorders>
              <w:top w:val="single" w:color="auto" w:sz="4" w:space="0"/>
              <w:left w:val="single" w:color="auto" w:sz="4" w:space="0"/>
              <w:bottom w:val="single" w:color="auto" w:sz="4" w:space="0"/>
              <w:right w:val="single" w:color="auto" w:sz="4" w:space="0"/>
            </w:tcBorders>
            <w:vAlign w:val="center"/>
          </w:tcPr>
          <w:p w14:paraId="2144B0AB">
            <w:pPr>
              <w:pStyle w:val="64"/>
              <w:spacing w:line="360" w:lineRule="auto"/>
              <w:ind w:left="96"/>
              <w:jc w:val="center"/>
              <w:rPr>
                <w:rFonts w:ascii="仿宋" w:hAnsi="仿宋" w:eastAsia="仿宋"/>
                <w:color w:val="auto"/>
                <w:sz w:val="21"/>
                <w:szCs w:val="21"/>
                <w:highlight w:val="none"/>
                <w:lang w:val="zh-CN"/>
              </w:rPr>
            </w:pPr>
            <w:r>
              <w:rPr>
                <w:rFonts w:hint="eastAsia" w:ascii="仿宋" w:hAnsi="仿宋" w:eastAsia="仿宋"/>
                <w:color w:val="auto"/>
                <w:sz w:val="21"/>
                <w:szCs w:val="21"/>
                <w:highlight w:val="none"/>
                <w:lang w:val="zh-CN"/>
              </w:rPr>
              <w:t>联合</w:t>
            </w:r>
            <w:r>
              <w:rPr>
                <w:rFonts w:ascii="仿宋" w:hAnsi="仿宋" w:eastAsia="仿宋"/>
                <w:color w:val="auto"/>
                <w:sz w:val="21"/>
                <w:szCs w:val="21"/>
                <w:highlight w:val="none"/>
                <w:lang w:val="zh-CN"/>
              </w:rPr>
              <w:t>体</w:t>
            </w:r>
          </w:p>
          <w:p w14:paraId="47C881EA">
            <w:pPr>
              <w:pStyle w:val="64"/>
              <w:spacing w:line="360" w:lineRule="auto"/>
              <w:ind w:left="96"/>
              <w:jc w:val="center"/>
              <w:rPr>
                <w:rFonts w:ascii="仿宋" w:hAnsi="仿宋" w:eastAsia="仿宋"/>
                <w:color w:val="auto"/>
                <w:sz w:val="21"/>
                <w:szCs w:val="21"/>
                <w:highlight w:val="none"/>
                <w:lang w:val="zh-CN"/>
              </w:rPr>
            </w:pPr>
            <w:r>
              <w:rPr>
                <w:rFonts w:hint="eastAsia" w:ascii="仿宋" w:hAnsi="仿宋" w:eastAsia="仿宋"/>
                <w:b/>
                <w:color w:val="auto"/>
                <w:sz w:val="21"/>
                <w:szCs w:val="21"/>
                <w:highlight w:val="none"/>
                <w:lang w:val="zh-CN"/>
              </w:rPr>
              <w:t>（实质性</w:t>
            </w:r>
            <w:r>
              <w:rPr>
                <w:rFonts w:ascii="仿宋" w:hAnsi="仿宋" w:eastAsia="仿宋"/>
                <w:b/>
                <w:color w:val="auto"/>
                <w:sz w:val="21"/>
                <w:szCs w:val="21"/>
                <w:highlight w:val="none"/>
                <w:lang w:val="zh-CN"/>
              </w:rPr>
              <w:t>要求</w:t>
            </w:r>
            <w:r>
              <w:rPr>
                <w:rFonts w:hint="eastAsia" w:ascii="仿宋" w:hAnsi="仿宋" w:eastAsia="仿宋"/>
                <w:b/>
                <w:color w:val="auto"/>
                <w:sz w:val="21"/>
                <w:szCs w:val="21"/>
                <w:highlight w:val="none"/>
                <w:lang w:val="zh-CN"/>
              </w:rPr>
              <w:t>）</w:t>
            </w:r>
          </w:p>
        </w:tc>
        <w:tc>
          <w:tcPr>
            <w:tcW w:w="3485" w:type="pct"/>
            <w:tcBorders>
              <w:top w:val="single" w:color="auto" w:sz="4" w:space="0"/>
              <w:left w:val="single" w:color="auto" w:sz="4" w:space="0"/>
              <w:bottom w:val="single" w:color="auto" w:sz="4" w:space="0"/>
              <w:right w:val="single" w:color="auto" w:sz="4" w:space="0"/>
            </w:tcBorders>
            <w:vAlign w:val="center"/>
          </w:tcPr>
          <w:p w14:paraId="312F60D8">
            <w:pPr>
              <w:pStyle w:val="64"/>
              <w:rPr>
                <w:rFonts w:ascii="仿宋" w:hAnsi="仿宋" w:eastAsia="仿宋"/>
                <w:b/>
                <w:color w:val="auto"/>
                <w:sz w:val="21"/>
                <w:szCs w:val="21"/>
                <w:highlight w:val="none"/>
                <w:lang w:val="zh-CN"/>
              </w:rPr>
            </w:pPr>
            <w:r>
              <w:rPr>
                <w:rFonts w:hint="eastAsia" w:ascii="仿宋" w:hAnsi="仿宋" w:eastAsia="仿宋"/>
                <w:b/>
                <w:color w:val="auto"/>
                <w:sz w:val="21"/>
                <w:szCs w:val="21"/>
                <w:highlight w:val="none"/>
                <w:lang w:val="zh-CN"/>
              </w:rPr>
              <w:t>本项目不允许联合体参加</w:t>
            </w:r>
          </w:p>
        </w:tc>
      </w:tr>
    </w:tbl>
    <w:p w14:paraId="4DE770CD">
      <w:pPr>
        <w:pStyle w:val="74"/>
        <w:ind w:firstLine="480"/>
        <w:rPr>
          <w:color w:val="auto"/>
          <w:highlight w:val="none"/>
        </w:rPr>
      </w:pPr>
    </w:p>
    <w:p w14:paraId="7DBAA97D">
      <w:pPr>
        <w:pStyle w:val="4"/>
        <w:keepNext w:val="0"/>
        <w:keepLines w:val="0"/>
        <w:spacing w:before="0" w:after="0" w:line="360" w:lineRule="auto"/>
        <w:ind w:firstLine="3855" w:firstLineChars="1200"/>
        <w:rPr>
          <w:rFonts w:ascii="仿宋" w:hAnsi="仿宋" w:eastAsia="仿宋"/>
          <w:bCs w:val="0"/>
          <w:color w:val="auto"/>
          <w:highlight w:val="none"/>
        </w:rPr>
      </w:pPr>
      <w:r>
        <w:rPr>
          <w:rFonts w:hint="eastAsia" w:ascii="仿宋" w:hAnsi="仿宋" w:eastAsia="仿宋"/>
          <w:bCs w:val="0"/>
          <w:color w:val="auto"/>
          <w:highlight w:val="none"/>
        </w:rPr>
        <w:t>二、总  则</w:t>
      </w:r>
    </w:p>
    <w:p w14:paraId="5380E65F">
      <w:pPr>
        <w:spacing w:line="360" w:lineRule="auto"/>
        <w:ind w:firstLine="643"/>
        <w:rPr>
          <w:rFonts w:ascii="仿宋" w:hAnsi="仿宋" w:eastAsia="仿宋"/>
          <w:color w:val="auto"/>
          <w:highlight w:val="none"/>
        </w:rPr>
      </w:pPr>
      <w:bookmarkStart w:id="15" w:name="_Toc217446034"/>
      <w:bookmarkStart w:id="16" w:name="_Toc183582205"/>
      <w:bookmarkStart w:id="17" w:name="_Toc183682342"/>
    </w:p>
    <w:bookmarkEnd w:id="15"/>
    <w:bookmarkEnd w:id="16"/>
    <w:bookmarkEnd w:id="17"/>
    <w:p w14:paraId="2859381C">
      <w:pPr>
        <w:pStyle w:val="5"/>
        <w:keepNext w:val="0"/>
        <w:keepLines w:val="0"/>
        <w:spacing w:before="0" w:after="0" w:line="360" w:lineRule="auto"/>
        <w:ind w:firstLine="482" w:firstLineChars="200"/>
        <w:rPr>
          <w:rFonts w:ascii="仿宋" w:hAnsi="仿宋" w:eastAsia="仿宋"/>
          <w:color w:val="auto"/>
          <w:sz w:val="24"/>
          <w:highlight w:val="none"/>
        </w:rPr>
      </w:pPr>
      <w:bookmarkStart w:id="18" w:name="PO_默认文件内容_24"/>
      <w:bookmarkStart w:id="19" w:name="_Toc217446056"/>
      <w:bookmarkStart w:id="20" w:name="_Toc77400782"/>
      <w:bookmarkStart w:id="21" w:name="_Toc89075878"/>
      <w:bookmarkStart w:id="22" w:name="_Toc183682368"/>
      <w:bookmarkStart w:id="23" w:name="_Toc183582231"/>
      <w:r>
        <w:rPr>
          <w:rFonts w:hint="eastAsia" w:ascii="仿宋" w:hAnsi="仿宋" w:eastAsia="仿宋"/>
          <w:color w:val="auto"/>
          <w:sz w:val="24"/>
          <w:highlight w:val="none"/>
        </w:rPr>
        <w:t>1.</w:t>
      </w:r>
      <w:r>
        <w:rPr>
          <w:rFonts w:hint="eastAsia" w:ascii="仿宋" w:hAnsi="仿宋" w:eastAsia="仿宋"/>
          <w:color w:val="auto"/>
          <w:sz w:val="24"/>
          <w:szCs w:val="24"/>
          <w:highlight w:val="none"/>
        </w:rPr>
        <w:t>适用范围</w:t>
      </w:r>
    </w:p>
    <w:p w14:paraId="36732C5F">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w:t>
      </w:r>
      <w:r>
        <w:rPr>
          <w:rFonts w:hint="eastAsia" w:ascii="仿宋" w:hAnsi="仿宋" w:eastAsia="仿宋"/>
          <w:color w:val="auto"/>
          <w:sz w:val="24"/>
          <w:highlight w:val="none"/>
        </w:rPr>
        <w:t>1本谈判文件仅适用于本次谈判采购项目。</w:t>
      </w:r>
    </w:p>
    <w:p w14:paraId="1DCC751B">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1.2本谈判文件的解释权归采购人和采购代理机构所有。</w:t>
      </w:r>
      <w:bookmarkStart w:id="24" w:name="_Toc217446035"/>
      <w:bookmarkStart w:id="25" w:name="_Toc183682343"/>
      <w:bookmarkStart w:id="26" w:name="_Toc183582206"/>
    </w:p>
    <w:p w14:paraId="2719A6E3">
      <w:pPr>
        <w:pStyle w:val="5"/>
        <w:keepNext w:val="0"/>
        <w:keepLines w:val="0"/>
        <w:spacing w:before="0" w:after="0" w:line="360" w:lineRule="auto"/>
        <w:ind w:firstLine="482" w:firstLineChars="200"/>
        <w:rPr>
          <w:rFonts w:ascii="仿宋" w:hAnsi="仿宋" w:eastAsia="仿宋"/>
          <w:color w:val="auto"/>
          <w:sz w:val="24"/>
          <w:highlight w:val="none"/>
        </w:rPr>
      </w:pPr>
      <w:r>
        <w:rPr>
          <w:rFonts w:ascii="仿宋" w:hAnsi="仿宋" w:eastAsia="仿宋"/>
          <w:color w:val="auto"/>
          <w:sz w:val="24"/>
          <w:highlight w:val="none"/>
        </w:rPr>
        <w:t>2</w:t>
      </w:r>
      <w:bookmarkEnd w:id="24"/>
      <w:bookmarkEnd w:id="25"/>
      <w:bookmarkEnd w:id="26"/>
      <w:r>
        <w:rPr>
          <w:rFonts w:hint="eastAsia" w:ascii="仿宋" w:hAnsi="仿宋" w:eastAsia="仿宋"/>
          <w:color w:val="auto"/>
          <w:sz w:val="24"/>
          <w:highlight w:val="none"/>
        </w:rPr>
        <w:t>.采购主体</w:t>
      </w:r>
      <w:bookmarkStart w:id="98" w:name="_GoBack"/>
      <w:bookmarkEnd w:id="98"/>
    </w:p>
    <w:p w14:paraId="4314BC10">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1本次谈判的采购人是</w:t>
      </w:r>
      <w:bookmarkEnd w:id="18"/>
      <w:r>
        <w:rPr>
          <w:rFonts w:hint="eastAsia" w:ascii="仿宋" w:hAnsi="仿宋" w:eastAsia="仿宋"/>
          <w:color w:val="auto"/>
          <w:sz w:val="24"/>
          <w:highlight w:val="none"/>
          <w:u w:val="single"/>
        </w:rPr>
        <w:t>成都市技师学院</w:t>
      </w:r>
      <w:r>
        <w:rPr>
          <w:rFonts w:hint="eastAsia" w:ascii="仿宋" w:hAnsi="仿宋" w:eastAsia="仿宋"/>
          <w:color w:val="auto"/>
          <w:sz w:val="24"/>
          <w:highlight w:val="none"/>
        </w:rPr>
        <w:t xml:space="preserve"> 。</w:t>
      </w:r>
    </w:p>
    <w:p w14:paraId="02694EF4">
      <w:pPr>
        <w:tabs>
          <w:tab w:val="left" w:pos="7665"/>
        </w:tabs>
        <w:spacing w:line="360" w:lineRule="auto"/>
        <w:ind w:firstLine="480" w:firstLineChars="200"/>
        <w:rPr>
          <w:rFonts w:ascii="仿宋" w:hAnsi="仿宋" w:eastAsia="仿宋"/>
          <w:color w:val="auto"/>
          <w:sz w:val="24"/>
          <w:highlight w:val="none"/>
        </w:rPr>
      </w:pPr>
      <w:bookmarkStart w:id="27" w:name="PO_默认文件内容_25"/>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2本次谈判的采购代理机构是四川国际招标有限责任公司。</w:t>
      </w:r>
    </w:p>
    <w:p w14:paraId="080D2753">
      <w:pPr>
        <w:pStyle w:val="5"/>
        <w:keepNext w:val="0"/>
        <w:keepLines w:val="0"/>
        <w:spacing w:before="0" w:after="0" w:line="360" w:lineRule="auto"/>
        <w:ind w:firstLine="482" w:firstLineChars="200"/>
        <w:rPr>
          <w:rFonts w:ascii="仿宋" w:hAnsi="仿宋" w:eastAsia="仿宋"/>
          <w:color w:val="auto"/>
          <w:sz w:val="24"/>
          <w:highlight w:val="none"/>
        </w:rPr>
      </w:pPr>
      <w:bookmarkStart w:id="28" w:name="_Toc183682344"/>
      <w:bookmarkStart w:id="29" w:name="_Toc217390843"/>
      <w:bookmarkStart w:id="30" w:name="_Toc183582207"/>
      <w:bookmarkStart w:id="31" w:name="_Toc217446036"/>
      <w:r>
        <w:rPr>
          <w:rFonts w:ascii="仿宋" w:hAnsi="仿宋" w:eastAsia="仿宋"/>
          <w:color w:val="auto"/>
          <w:sz w:val="24"/>
          <w:highlight w:val="none"/>
        </w:rPr>
        <w:t>3</w:t>
      </w:r>
      <w:r>
        <w:rPr>
          <w:rFonts w:hint="eastAsia" w:ascii="仿宋" w:hAnsi="仿宋" w:eastAsia="仿宋"/>
          <w:color w:val="auto"/>
          <w:sz w:val="24"/>
          <w:highlight w:val="none"/>
        </w:rPr>
        <w:t>.合格</w:t>
      </w:r>
      <w:bookmarkEnd w:id="28"/>
      <w:bookmarkEnd w:id="29"/>
      <w:bookmarkEnd w:id="30"/>
      <w:bookmarkEnd w:id="31"/>
      <w:r>
        <w:rPr>
          <w:rFonts w:hint="eastAsia" w:ascii="仿宋" w:hAnsi="仿宋" w:eastAsia="仿宋"/>
          <w:color w:val="auto"/>
          <w:sz w:val="24"/>
          <w:highlight w:val="none"/>
        </w:rPr>
        <w:t>供应商</w:t>
      </w:r>
    </w:p>
    <w:p w14:paraId="2CD5E6C1">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合格供应商应具备以下条件：</w:t>
      </w:r>
    </w:p>
    <w:p w14:paraId="582A1E4B">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3.1具备法律法规和本采购文件规定的资格条件；</w:t>
      </w:r>
    </w:p>
    <w:p w14:paraId="577B1385">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3.2不属于禁止参加本项目采购活动的供应商；</w:t>
      </w:r>
    </w:p>
    <w:p w14:paraId="3CB1FE55">
      <w:pPr>
        <w:ind w:firstLine="480" w:firstLineChars="200"/>
        <w:rPr>
          <w:rFonts w:ascii="仿宋" w:hAnsi="仿宋" w:eastAsia="仿宋" w:cs="宋体"/>
          <w:color w:val="auto"/>
          <w:sz w:val="24"/>
          <w:highlight w:val="none"/>
        </w:rPr>
      </w:pPr>
      <w:bookmarkStart w:id="32" w:name="_Toc217446037"/>
      <w:bookmarkStart w:id="33" w:name="_Toc183682345"/>
      <w:bookmarkStart w:id="34" w:name="_Toc183582208"/>
      <w:r>
        <w:rPr>
          <w:rFonts w:hint="eastAsia" w:ascii="仿宋" w:hAnsi="仿宋" w:eastAsia="仿宋"/>
          <w:color w:val="auto"/>
          <w:sz w:val="24"/>
          <w:highlight w:val="none"/>
        </w:rPr>
        <w:t>3.3</w:t>
      </w:r>
      <w:r>
        <w:rPr>
          <w:rFonts w:hint="eastAsia" w:ascii="仿宋" w:hAnsi="仿宋" w:eastAsia="仿宋"/>
          <w:color w:val="auto"/>
          <w:spacing w:val="-4"/>
          <w:sz w:val="24"/>
          <w:highlight w:val="none"/>
        </w:rPr>
        <w:t>按照规定获取了采购文件</w:t>
      </w:r>
      <w:r>
        <w:rPr>
          <w:rFonts w:hint="eastAsia" w:ascii="仿宋" w:hAnsi="仿宋" w:eastAsia="仿宋"/>
          <w:b/>
          <w:color w:val="auto"/>
          <w:spacing w:val="-4"/>
          <w:sz w:val="24"/>
          <w:highlight w:val="none"/>
        </w:rPr>
        <w:t>（实质性</w:t>
      </w:r>
      <w:r>
        <w:rPr>
          <w:rFonts w:ascii="仿宋" w:hAnsi="仿宋" w:eastAsia="仿宋"/>
          <w:b/>
          <w:color w:val="auto"/>
          <w:spacing w:val="-4"/>
          <w:sz w:val="24"/>
          <w:highlight w:val="none"/>
        </w:rPr>
        <w:t>要求</w:t>
      </w:r>
      <w:r>
        <w:rPr>
          <w:rFonts w:hint="eastAsia" w:ascii="仿宋" w:hAnsi="仿宋" w:eastAsia="仿宋"/>
          <w:b/>
          <w:color w:val="auto"/>
          <w:spacing w:val="-4"/>
          <w:sz w:val="24"/>
          <w:highlight w:val="none"/>
        </w:rPr>
        <w:t>）</w:t>
      </w:r>
    </w:p>
    <w:p w14:paraId="350EEBCB">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由代理机构提供供应商获取采购文件情况的相关证明材料，供应商不用提供证明材料。</w:t>
      </w:r>
    </w:p>
    <w:p w14:paraId="0D003F29">
      <w:pPr>
        <w:pStyle w:val="5"/>
        <w:keepNext w:val="0"/>
        <w:keepLines w:val="0"/>
        <w:spacing w:before="0" w:after="0" w:line="360" w:lineRule="auto"/>
        <w:ind w:firstLine="482" w:firstLineChars="200"/>
        <w:rPr>
          <w:rFonts w:ascii="仿宋" w:hAnsi="仿宋" w:eastAsia="仿宋"/>
          <w:color w:val="auto"/>
          <w:sz w:val="24"/>
          <w:highlight w:val="none"/>
        </w:rPr>
      </w:pPr>
      <w:r>
        <w:rPr>
          <w:rFonts w:hint="eastAsia" w:ascii="仿宋" w:hAnsi="仿宋" w:eastAsia="仿宋"/>
          <w:color w:val="auto"/>
          <w:sz w:val="24"/>
          <w:highlight w:val="none"/>
        </w:rPr>
        <w:t>4.谈判费用</w:t>
      </w:r>
      <w:bookmarkEnd w:id="32"/>
      <w:bookmarkEnd w:id="33"/>
      <w:bookmarkEnd w:id="34"/>
      <w:r>
        <w:rPr>
          <w:rFonts w:hint="eastAsia" w:ascii="仿宋" w:hAnsi="仿宋" w:eastAsia="仿宋"/>
          <w:color w:val="auto"/>
          <w:sz w:val="24"/>
          <w:highlight w:val="none"/>
        </w:rPr>
        <w:t>（实质性要求）</w:t>
      </w:r>
    </w:p>
    <w:p w14:paraId="7D1210CE">
      <w:pPr>
        <w:tabs>
          <w:tab w:val="left" w:pos="7665"/>
        </w:tabs>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供应商应自行承担参加谈判活动的全部费用。</w:t>
      </w:r>
    </w:p>
    <w:p w14:paraId="5E538485">
      <w:pPr>
        <w:pStyle w:val="61"/>
        <w:spacing w:line="360" w:lineRule="auto"/>
        <w:ind w:firstLine="482" w:firstLineChars="200"/>
        <w:outlineLvl w:val="2"/>
        <w:rPr>
          <w:rFonts w:ascii="仿宋" w:hAnsi="仿宋" w:eastAsia="仿宋"/>
          <w:b/>
          <w:color w:val="auto"/>
          <w:sz w:val="24"/>
          <w:highlight w:val="none"/>
        </w:rPr>
      </w:pPr>
      <w:r>
        <w:rPr>
          <w:rFonts w:hint="eastAsia" w:ascii="仿宋" w:hAnsi="仿宋" w:eastAsia="仿宋"/>
          <w:b/>
          <w:color w:val="auto"/>
          <w:sz w:val="24"/>
          <w:highlight w:val="none"/>
        </w:rPr>
        <w:t>5.充分、公平竞争保障措施（实质性要求）</w:t>
      </w:r>
    </w:p>
    <w:p w14:paraId="1E8CB433">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1A0ACF95">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w:t>
      </w:r>
      <w:r>
        <w:rPr>
          <w:rFonts w:ascii="仿宋" w:hAnsi="仿宋" w:eastAsia="仿宋"/>
          <w:color w:val="auto"/>
          <w:sz w:val="24"/>
          <w:highlight w:val="none"/>
        </w:rPr>
        <w:t>2</w:t>
      </w:r>
      <w:r>
        <w:rPr>
          <w:rFonts w:hint="eastAsia" w:ascii="仿宋" w:hAnsi="仿宋" w:eastAsia="仿宋"/>
          <w:color w:val="auto"/>
          <w:sz w:val="24"/>
          <w:highlight w:val="none"/>
        </w:rPr>
        <w:t>前期参与供应商处理。为采购项目提供整体设计、规范编制或者项目管理、监理、检测等服务的供应商，不得再参加该采购项目的其他采购活动。</w:t>
      </w:r>
    </w:p>
    <w:p w14:paraId="78D92F3A">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w:t>
      </w:r>
      <w:r>
        <w:rPr>
          <w:rFonts w:ascii="仿宋" w:hAnsi="仿宋" w:eastAsia="仿宋"/>
          <w:color w:val="auto"/>
          <w:sz w:val="24"/>
          <w:highlight w:val="none"/>
        </w:rPr>
        <w:t>3</w:t>
      </w:r>
      <w:r>
        <w:rPr>
          <w:rFonts w:hint="eastAsia" w:ascii="仿宋" w:hAnsi="仿宋" w:eastAsia="仿宋"/>
          <w:color w:val="auto"/>
          <w:sz w:val="24"/>
          <w:highlight w:val="none"/>
        </w:rPr>
        <w:t>回避。采购活动中，采购人员及相关人员与供应商有下列利害关系之一的，应当回避：</w:t>
      </w:r>
    </w:p>
    <w:p w14:paraId="6E24D78F">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（1）参加采购活动前3年内与供应商存在劳动关系；</w:t>
      </w:r>
    </w:p>
    <w:p w14:paraId="36AE4CE5">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（2）参加采购活动前3年内担任供应商的董事、监事；</w:t>
      </w:r>
    </w:p>
    <w:p w14:paraId="5F67BCC7">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（3）参加采购活动前3年内是供应商的控股股东或者实际控制人；</w:t>
      </w:r>
    </w:p>
    <w:p w14:paraId="4764D5E6">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（4）与供应商的法定代表人或者负责人有夫妻、直系血亲、三代以内旁系血亲或者近姻亲关系；</w:t>
      </w:r>
    </w:p>
    <w:p w14:paraId="341B69E8">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（5）与供应商有其他可能影响采购活动公平、公正进行的关系。</w:t>
      </w:r>
    </w:p>
    <w:p w14:paraId="49580691">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r>
        <w:rPr>
          <w:rFonts w:hint="eastAsia" w:ascii="仿宋" w:hAnsi="仿宋" w:eastAsia="仿宋"/>
          <w:b/>
          <w:bCs/>
          <w:color w:val="auto"/>
          <w:sz w:val="24"/>
          <w:highlight w:val="none"/>
        </w:rPr>
        <w:t>本项目须回避的供应商为：中青宏发集团有限公司（为本项目工程清单编制单位）。</w:t>
      </w:r>
    </w:p>
    <w:p w14:paraId="4FF8F4FC">
      <w:pPr>
        <w:pStyle w:val="61"/>
        <w:spacing w:line="360" w:lineRule="auto"/>
        <w:ind w:firstLine="482" w:firstLineChars="200"/>
        <w:outlineLvl w:val="2"/>
        <w:rPr>
          <w:rFonts w:ascii="仿宋" w:hAnsi="仿宋" w:eastAsia="仿宋"/>
          <w:b/>
          <w:color w:val="auto"/>
          <w:sz w:val="24"/>
          <w:highlight w:val="none"/>
        </w:rPr>
      </w:pPr>
      <w:r>
        <w:rPr>
          <w:rFonts w:hint="eastAsia" w:ascii="仿宋" w:hAnsi="仿宋" w:eastAsia="仿宋"/>
          <w:b/>
          <w:color w:val="auto"/>
          <w:sz w:val="24"/>
          <w:highlight w:val="none"/>
        </w:rPr>
        <w:t>6.联合体竞争性谈判</w:t>
      </w:r>
    </w:p>
    <w:p w14:paraId="206B9833">
      <w:pPr>
        <w:pStyle w:val="61"/>
        <w:spacing w:line="360" w:lineRule="auto"/>
        <w:ind w:left="1" w:firstLine="480" w:firstLineChars="200"/>
        <w:rPr>
          <w:rFonts w:ascii="仿宋" w:hAnsi="仿宋" w:eastAsia="仿宋"/>
          <w:color w:val="auto"/>
          <w:sz w:val="24"/>
          <w:highlight w:val="none"/>
        </w:rPr>
      </w:pPr>
      <w:r>
        <w:rPr>
          <w:rFonts w:hint="eastAsia" w:ascii="仿宋" w:hAnsi="仿宋" w:eastAsia="仿宋"/>
          <w:color w:val="auto"/>
          <w:sz w:val="24"/>
          <w:highlight w:val="none"/>
        </w:rPr>
        <w:t>本项目不允许联合体参与。</w:t>
      </w:r>
    </w:p>
    <w:p w14:paraId="7C10184A">
      <w:pPr>
        <w:pStyle w:val="61"/>
        <w:spacing w:line="360" w:lineRule="auto"/>
        <w:ind w:firstLine="482" w:firstLineChars="200"/>
        <w:outlineLvl w:val="2"/>
        <w:rPr>
          <w:rFonts w:ascii="仿宋" w:hAnsi="仿宋" w:eastAsia="仿宋"/>
          <w:b/>
          <w:color w:val="auto"/>
          <w:sz w:val="24"/>
          <w:highlight w:val="none"/>
        </w:rPr>
      </w:pPr>
      <w:r>
        <w:rPr>
          <w:rFonts w:hint="eastAsia" w:ascii="仿宋" w:hAnsi="仿宋" w:eastAsia="仿宋"/>
          <w:b/>
          <w:color w:val="auto"/>
          <w:sz w:val="24"/>
          <w:highlight w:val="none"/>
        </w:rPr>
        <w:t>7.谈判保证金</w:t>
      </w:r>
    </w:p>
    <w:p w14:paraId="106DCC3A">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本项目不收取谈判保证金。</w:t>
      </w:r>
    </w:p>
    <w:p w14:paraId="4EAA0E25">
      <w:pPr>
        <w:spacing w:line="360" w:lineRule="auto"/>
        <w:ind w:firstLine="482" w:firstLineChars="200"/>
        <w:rPr>
          <w:rFonts w:ascii="仿宋" w:hAnsi="仿宋" w:eastAsia="仿宋"/>
          <w:color w:val="auto"/>
          <w:sz w:val="24"/>
          <w:highlight w:val="none"/>
        </w:rPr>
      </w:pPr>
      <w:r>
        <w:rPr>
          <w:rFonts w:hint="eastAsia" w:ascii="仿宋" w:hAnsi="仿宋" w:eastAsia="仿宋"/>
          <w:b/>
          <w:color w:val="auto"/>
          <w:sz w:val="24"/>
          <w:highlight w:val="none"/>
        </w:rPr>
        <w:t>8.响应文件有效期（实质性要求）</w:t>
      </w:r>
    </w:p>
    <w:p w14:paraId="1CF4EF2B">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本项目响应文件有效期为递交谈判响应文件截止之日起</w:t>
      </w:r>
      <w:r>
        <w:rPr>
          <w:rFonts w:ascii="仿宋" w:hAnsi="仿宋" w:eastAsia="仿宋"/>
          <w:color w:val="auto"/>
          <w:sz w:val="24"/>
          <w:highlight w:val="none"/>
        </w:rPr>
        <w:t>90</w:t>
      </w:r>
      <w:r>
        <w:rPr>
          <w:rFonts w:hint="eastAsia" w:ascii="仿宋" w:hAnsi="仿宋" w:eastAsia="仿宋"/>
          <w:color w:val="auto"/>
          <w:sz w:val="24"/>
          <w:highlight w:val="none"/>
        </w:rPr>
        <w:t>天。供应商响应文件中必须载明响应文件有效期，响应文件中载明的响应文件有效期可以长于谈判文件规定的期限，但不得短于谈判文件规定的期限。否则，其响应文件将作为无效响应处理。</w:t>
      </w:r>
    </w:p>
    <w:p w14:paraId="176EEE90">
      <w:pPr>
        <w:pStyle w:val="18"/>
        <w:spacing w:line="360" w:lineRule="auto"/>
        <w:ind w:firstLine="482" w:firstLineChars="200"/>
        <w:outlineLvl w:val="2"/>
        <w:rPr>
          <w:rFonts w:ascii="仿宋" w:hAnsi="仿宋" w:eastAsia="仿宋"/>
          <w:b/>
          <w:bCs/>
          <w:color w:val="auto"/>
          <w:sz w:val="24"/>
          <w:szCs w:val="24"/>
          <w:highlight w:val="none"/>
        </w:rPr>
      </w:pPr>
      <w:r>
        <w:rPr>
          <w:rFonts w:hint="eastAsia" w:ascii="仿宋" w:hAnsi="仿宋" w:eastAsia="仿宋"/>
          <w:b/>
          <w:color w:val="auto"/>
          <w:sz w:val="24"/>
          <w:highlight w:val="none"/>
        </w:rPr>
        <w:t>9.</w:t>
      </w:r>
      <w:r>
        <w:rPr>
          <w:rFonts w:hint="eastAsia" w:ascii="仿宋" w:hAnsi="仿宋" w:eastAsia="仿宋"/>
          <w:b/>
          <w:bCs/>
          <w:color w:val="auto"/>
          <w:sz w:val="24"/>
          <w:szCs w:val="24"/>
          <w:highlight w:val="none"/>
        </w:rPr>
        <w:t>知识产权（实质性要求）</w:t>
      </w:r>
    </w:p>
    <w:p w14:paraId="118AC370">
      <w:pPr>
        <w:pStyle w:val="18"/>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9</w:t>
      </w:r>
      <w:r>
        <w:rPr>
          <w:rFonts w:ascii="仿宋" w:hAnsi="仿宋" w:eastAsia="仿宋"/>
          <w:color w:val="auto"/>
          <w:sz w:val="24"/>
          <w:szCs w:val="24"/>
          <w:highlight w:val="none"/>
        </w:rPr>
        <w:t>.1</w:t>
      </w:r>
      <w:r>
        <w:rPr>
          <w:rFonts w:hint="eastAsia" w:ascii="仿宋" w:hAnsi="仿宋" w:eastAsia="仿宋"/>
          <w:color w:val="auto"/>
          <w:sz w:val="24"/>
          <w:highlight w:val="none"/>
        </w:rPr>
        <w:t>供应商</w:t>
      </w:r>
      <w:r>
        <w:rPr>
          <w:rFonts w:hint="eastAsia" w:ascii="仿宋" w:hAnsi="仿宋" w:eastAsia="仿宋"/>
          <w:color w:val="auto"/>
          <w:sz w:val="24"/>
          <w:szCs w:val="24"/>
          <w:highlight w:val="none"/>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olor w:val="auto"/>
          <w:sz w:val="24"/>
          <w:highlight w:val="none"/>
        </w:rPr>
        <w:t>供应商</w:t>
      </w:r>
      <w:r>
        <w:rPr>
          <w:rFonts w:hint="eastAsia" w:ascii="仿宋" w:hAnsi="仿宋" w:eastAsia="仿宋"/>
          <w:color w:val="auto"/>
          <w:sz w:val="24"/>
          <w:szCs w:val="24"/>
          <w:highlight w:val="none"/>
        </w:rPr>
        <w:t>承担所有相关责任。</w:t>
      </w:r>
    </w:p>
    <w:p w14:paraId="293B5FAB">
      <w:pPr>
        <w:pStyle w:val="18"/>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9</w:t>
      </w:r>
      <w:r>
        <w:rPr>
          <w:rFonts w:ascii="仿宋" w:hAnsi="仿宋" w:eastAsia="仿宋"/>
          <w:color w:val="auto"/>
          <w:sz w:val="24"/>
          <w:szCs w:val="24"/>
          <w:highlight w:val="none"/>
        </w:rPr>
        <w:t>.2</w:t>
      </w:r>
      <w:r>
        <w:rPr>
          <w:rFonts w:hint="eastAsia" w:ascii="仿宋" w:hAnsi="仿宋" w:eastAsia="仿宋"/>
          <w:color w:val="auto"/>
          <w:sz w:val="24"/>
          <w:szCs w:val="24"/>
          <w:highlight w:val="none"/>
        </w:rPr>
        <w:t>除非谈判文件特别规定，采购人享有本项目实施过程中产生的知识成果及知识产权。</w:t>
      </w:r>
    </w:p>
    <w:p w14:paraId="3A72DA5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9</w:t>
      </w:r>
      <w:r>
        <w:rPr>
          <w:rFonts w:ascii="仿宋" w:hAnsi="仿宋" w:eastAsia="仿宋"/>
          <w:color w:val="auto"/>
          <w:sz w:val="24"/>
          <w:highlight w:val="none"/>
        </w:rPr>
        <w:t>.3</w:t>
      </w:r>
      <w:r>
        <w:rPr>
          <w:rFonts w:hint="eastAsia" w:ascii="仿宋" w:hAnsi="仿宋" w:eastAsia="仿宋"/>
          <w:color w:val="auto"/>
          <w:sz w:val="24"/>
          <w:highlight w:val="none"/>
        </w:rPr>
        <w:t>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71EEE42C">
      <w:pPr>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9</w:t>
      </w:r>
      <w:r>
        <w:rPr>
          <w:rFonts w:ascii="仿宋" w:hAnsi="仿宋" w:eastAsia="仿宋"/>
          <w:color w:val="auto"/>
          <w:sz w:val="24"/>
          <w:highlight w:val="none"/>
        </w:rPr>
        <w:t>.4</w:t>
      </w:r>
      <w:r>
        <w:rPr>
          <w:rFonts w:hint="eastAsia" w:ascii="仿宋" w:hAnsi="仿宋" w:eastAsia="仿宋"/>
          <w:color w:val="auto"/>
          <w:sz w:val="24"/>
          <w:highlight w:val="none"/>
        </w:rPr>
        <w:t xml:space="preserve">如采用供应商所不拥有的知识产权，则在报价中必须包括合法获取该知识产权的相关费用。 </w:t>
      </w:r>
      <w:bookmarkStart w:id="35" w:name="_Toc183582209"/>
      <w:bookmarkStart w:id="36" w:name="_Toc77400779"/>
      <w:bookmarkStart w:id="37" w:name="_Toc217446038"/>
      <w:bookmarkStart w:id="38" w:name="_Toc183682346"/>
      <w:bookmarkStart w:id="39" w:name="_Toc89075875"/>
    </w:p>
    <w:p w14:paraId="5BB9FA63">
      <w:pPr>
        <w:pStyle w:val="4"/>
        <w:keepNext w:val="0"/>
        <w:keepLines w:val="0"/>
        <w:spacing w:before="0" w:after="0" w:line="360" w:lineRule="auto"/>
        <w:jc w:val="center"/>
        <w:rPr>
          <w:rFonts w:ascii="仿宋" w:hAnsi="仿宋" w:eastAsia="仿宋"/>
          <w:bCs w:val="0"/>
          <w:color w:val="auto"/>
          <w:highlight w:val="none"/>
        </w:rPr>
      </w:pPr>
      <w:r>
        <w:rPr>
          <w:rFonts w:hint="eastAsia" w:ascii="仿宋" w:hAnsi="仿宋" w:eastAsia="仿宋"/>
          <w:bCs w:val="0"/>
          <w:color w:val="auto"/>
          <w:highlight w:val="none"/>
        </w:rPr>
        <w:t>三、谈判文件</w:t>
      </w:r>
      <w:bookmarkEnd w:id="35"/>
      <w:bookmarkEnd w:id="36"/>
      <w:bookmarkEnd w:id="37"/>
      <w:bookmarkEnd w:id="38"/>
      <w:bookmarkEnd w:id="39"/>
      <w:bookmarkStart w:id="40" w:name="_Toc217446039"/>
      <w:bookmarkStart w:id="41" w:name="_Toc183582210"/>
      <w:bookmarkStart w:id="42" w:name="_Toc183682347"/>
    </w:p>
    <w:p w14:paraId="339EB682">
      <w:pPr>
        <w:pStyle w:val="5"/>
        <w:keepNext w:val="0"/>
        <w:keepLines w:val="0"/>
        <w:spacing w:before="0" w:after="0" w:line="360" w:lineRule="auto"/>
        <w:ind w:firstLine="482" w:firstLineChars="200"/>
        <w:rPr>
          <w:rFonts w:ascii="仿宋" w:hAnsi="仿宋" w:eastAsia="仿宋"/>
          <w:color w:val="auto"/>
          <w:sz w:val="24"/>
          <w:highlight w:val="none"/>
        </w:rPr>
      </w:pPr>
      <w:r>
        <w:rPr>
          <w:rFonts w:hint="eastAsia" w:ascii="仿宋" w:hAnsi="仿宋" w:eastAsia="仿宋"/>
          <w:color w:val="auto"/>
          <w:sz w:val="24"/>
          <w:highlight w:val="none"/>
        </w:rPr>
        <w:t>10</w:t>
      </w:r>
      <w:r>
        <w:rPr>
          <w:rFonts w:ascii="仿宋" w:hAnsi="仿宋" w:eastAsia="仿宋"/>
          <w:b w:val="0"/>
          <w:bCs w:val="0"/>
          <w:color w:val="auto"/>
          <w:sz w:val="24"/>
          <w:highlight w:val="none"/>
        </w:rPr>
        <w:t>.</w:t>
      </w:r>
      <w:r>
        <w:rPr>
          <w:rFonts w:hint="eastAsia" w:ascii="仿宋" w:hAnsi="仿宋" w:eastAsia="仿宋"/>
          <w:color w:val="auto"/>
          <w:sz w:val="24"/>
          <w:highlight w:val="none"/>
        </w:rPr>
        <w:t>谈判文件的构成</w:t>
      </w:r>
      <w:bookmarkEnd w:id="40"/>
      <w:bookmarkEnd w:id="41"/>
      <w:bookmarkEnd w:id="42"/>
      <w:r>
        <w:rPr>
          <w:rFonts w:hint="eastAsia" w:ascii="仿宋" w:hAnsi="仿宋" w:eastAsia="仿宋"/>
          <w:color w:val="auto"/>
          <w:sz w:val="24"/>
          <w:highlight w:val="none"/>
        </w:rPr>
        <w:t>（实质性要求）</w:t>
      </w:r>
    </w:p>
    <w:p w14:paraId="2598E14B">
      <w:pPr>
        <w:tabs>
          <w:tab w:val="left" w:pos="720"/>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10</w:t>
      </w:r>
      <w:r>
        <w:rPr>
          <w:rFonts w:ascii="仿宋" w:hAnsi="仿宋" w:eastAsia="仿宋"/>
          <w:b/>
          <w:bCs/>
          <w:color w:val="auto"/>
          <w:sz w:val="24"/>
          <w:highlight w:val="none"/>
        </w:rPr>
        <w:t>.</w:t>
      </w:r>
      <w:r>
        <w:rPr>
          <w:rFonts w:hint="eastAsia" w:ascii="仿宋" w:hAnsi="仿宋" w:eastAsia="仿宋"/>
          <w:color w:val="auto"/>
          <w:sz w:val="24"/>
          <w:highlight w:val="none"/>
        </w:rPr>
        <w:t>1谈判文件是供应商准备响应文件和参加谈判的依据，同时也是谈判的重要依据。谈判文件用以阐明谈判项目所需的资质、技术、服务及报价等要求、谈判程序、有关规定和注意事项以及合同主要条款等。</w:t>
      </w:r>
    </w:p>
    <w:p w14:paraId="0DE45E38">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10</w:t>
      </w:r>
      <w:r>
        <w:rPr>
          <w:rFonts w:hint="eastAsia" w:ascii="仿宋" w:hAnsi="仿宋" w:eastAsia="仿宋"/>
          <w:b/>
          <w:bCs/>
          <w:color w:val="auto"/>
          <w:sz w:val="24"/>
          <w:highlight w:val="none"/>
        </w:rPr>
        <w:t>.</w:t>
      </w:r>
      <w:r>
        <w:rPr>
          <w:rFonts w:hint="eastAsia" w:ascii="仿宋" w:hAnsi="仿宋" w:eastAsia="仿宋"/>
          <w:color w:val="auto"/>
          <w:sz w:val="24"/>
          <w:highlight w:val="none"/>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43" w:name="_Toc183682348"/>
      <w:bookmarkStart w:id="44" w:name="_Toc183582211"/>
      <w:bookmarkStart w:id="45" w:name="_Toc217446040"/>
    </w:p>
    <w:p w14:paraId="14F8B855">
      <w:pPr>
        <w:pStyle w:val="5"/>
        <w:keepNext w:val="0"/>
        <w:keepLines w:val="0"/>
        <w:spacing w:before="0" w:after="0" w:line="360" w:lineRule="auto"/>
        <w:ind w:firstLine="482" w:firstLineChars="200"/>
        <w:rPr>
          <w:rFonts w:ascii="仿宋" w:hAnsi="仿宋" w:eastAsia="仿宋"/>
          <w:color w:val="auto"/>
          <w:sz w:val="24"/>
          <w:highlight w:val="none"/>
        </w:rPr>
      </w:pPr>
      <w:r>
        <w:rPr>
          <w:rFonts w:hint="eastAsia" w:ascii="仿宋" w:hAnsi="仿宋" w:eastAsia="仿宋"/>
          <w:color w:val="auto"/>
          <w:sz w:val="24"/>
          <w:highlight w:val="none"/>
        </w:rPr>
        <w:t>11.谈判文件的澄清</w:t>
      </w:r>
      <w:bookmarkEnd w:id="43"/>
      <w:bookmarkEnd w:id="44"/>
      <w:r>
        <w:rPr>
          <w:rFonts w:hint="eastAsia" w:ascii="仿宋" w:hAnsi="仿宋" w:eastAsia="仿宋"/>
          <w:color w:val="auto"/>
          <w:sz w:val="24"/>
          <w:highlight w:val="none"/>
        </w:rPr>
        <w:t>和修改</w:t>
      </w:r>
      <w:bookmarkEnd w:id="45"/>
    </w:p>
    <w:p w14:paraId="69977CC4">
      <w:pPr>
        <w:tabs>
          <w:tab w:val="left" w:pos="720"/>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11.1在递交响应文件截止时间前，采购人、采购代理机构可以对谈判文件进行澄清或者修改。</w:t>
      </w:r>
    </w:p>
    <w:p w14:paraId="6BA89754">
      <w:pPr>
        <w:tabs>
          <w:tab w:val="left" w:pos="720"/>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11.2采购代理机构对已发出的谈判文件进行澄清或者修改，应当以书面形式将澄清或者修改的内容通知所有获取了谈判文件的供应商，同时在中国招标投标公共服务平台上发布更正公告。该澄清或者修改的内容为谈判文件的组成部分，澄清或者修改的内容可能影响响应文件编制的，采购人或者采购代理机构发布公告并书面通知供应商的时间，应当在</w:t>
      </w:r>
      <w:r>
        <w:rPr>
          <w:rFonts w:hint="eastAsia" w:ascii="仿宋" w:hAnsi="仿宋" w:eastAsia="仿宋" w:cs="宋体"/>
          <w:color w:val="auto"/>
          <w:sz w:val="24"/>
          <w:highlight w:val="none"/>
        </w:rPr>
        <w:t>提交</w:t>
      </w:r>
      <w:r>
        <w:rPr>
          <w:rFonts w:hint="eastAsia" w:ascii="仿宋" w:hAnsi="仿宋" w:eastAsia="仿宋"/>
          <w:color w:val="auto"/>
          <w:sz w:val="24"/>
          <w:highlight w:val="none"/>
        </w:rPr>
        <w:t>首次响应文件截止之日起3个工作日前；不足上述时间的，应当顺延递交响应文件的截止时间。</w:t>
      </w:r>
    </w:p>
    <w:p w14:paraId="22A0A4BD">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11.3供应商应于递交响应文件截止前，在中国招标投标公共服务平台查询本项目的更正公告，以保证其对谈判文件做出正确的响应。供应商未按要求下载相关文件，或由于未及时关注更正公告的信息造成的后果，其责任由供应商自行负责。</w:t>
      </w:r>
    </w:p>
    <w:p w14:paraId="6EDDC9F3">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更正通知通过供应商报名时备注的电子邮箱发送至所有获取谈判文件的供应商，供应商在收到相应更正通知后，以书面形式给予确认。如供应商未给予书面回复，则视为收到并认可该更正通知的内容。</w:t>
      </w:r>
    </w:p>
    <w:p w14:paraId="5344E0D2">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11.4供应商认为需要对谈判文件进行澄清或者修改的，可以以书面形式向采购人或采购代理机构提出申请，由采购人或采购代理机构决定是否采纳供应商的申请事项。</w:t>
      </w:r>
    </w:p>
    <w:p w14:paraId="00040694">
      <w:pPr>
        <w:pStyle w:val="5"/>
        <w:keepNext w:val="0"/>
        <w:keepLines w:val="0"/>
        <w:spacing w:before="0" w:after="0" w:line="360" w:lineRule="auto"/>
        <w:ind w:firstLine="482" w:firstLineChars="200"/>
        <w:rPr>
          <w:rFonts w:ascii="仿宋" w:hAnsi="仿宋" w:eastAsia="仿宋"/>
          <w:color w:val="auto"/>
          <w:sz w:val="24"/>
          <w:highlight w:val="none"/>
        </w:rPr>
      </w:pPr>
      <w:bookmarkStart w:id="46" w:name="_Toc217446041"/>
      <w:bookmarkStart w:id="47" w:name="_Toc208848971"/>
      <w:r>
        <w:rPr>
          <w:rFonts w:hint="eastAsia" w:ascii="仿宋" w:hAnsi="仿宋" w:eastAsia="仿宋"/>
          <w:color w:val="auto"/>
          <w:sz w:val="24"/>
          <w:highlight w:val="none"/>
        </w:rPr>
        <w:t>12.答疑会和现场考察</w:t>
      </w:r>
      <w:bookmarkEnd w:id="46"/>
      <w:bookmarkEnd w:id="47"/>
    </w:p>
    <w:p w14:paraId="010031A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12.1根据采购项目和具体情况，采购人、采购代理机构认为有必要，可以在谈判文件提供期限截止后响应文件提交截止前，组织已获取谈判文件的潜在供应商现场考察或者召开答疑会。</w:t>
      </w:r>
    </w:p>
    <w:p w14:paraId="6CED50D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11A15929">
      <w:pPr>
        <w:adjustRightInd w:val="0"/>
        <w:snapToGrid w:val="0"/>
        <w:spacing w:line="360" w:lineRule="auto"/>
        <w:ind w:firstLine="420" w:firstLineChars="175"/>
        <w:rPr>
          <w:rFonts w:ascii="仿宋" w:hAnsi="仿宋" w:eastAsia="仿宋"/>
          <w:color w:val="auto"/>
          <w:sz w:val="24"/>
          <w:highlight w:val="none"/>
        </w:rPr>
      </w:pPr>
      <w:r>
        <w:rPr>
          <w:rFonts w:hint="eastAsia" w:ascii="仿宋" w:hAnsi="仿宋" w:eastAsia="仿宋"/>
          <w:color w:val="auto"/>
          <w:sz w:val="24"/>
          <w:highlight w:val="none"/>
        </w:rPr>
        <w:t>12</w:t>
      </w:r>
      <w:r>
        <w:rPr>
          <w:rFonts w:ascii="仿宋" w:hAnsi="仿宋" w:eastAsia="仿宋"/>
          <w:color w:val="auto"/>
          <w:sz w:val="24"/>
          <w:highlight w:val="none"/>
        </w:rPr>
        <w:t>.</w:t>
      </w:r>
      <w:r>
        <w:rPr>
          <w:rFonts w:hint="eastAsia" w:ascii="仿宋" w:hAnsi="仿宋" w:eastAsia="仿宋"/>
          <w:color w:val="auto"/>
          <w:sz w:val="24"/>
          <w:highlight w:val="none"/>
        </w:rPr>
        <w:t>3供应商考察现场或者参加答疑会所发生的一切费用由供应商自己承担。</w:t>
      </w:r>
      <w:bookmarkStart w:id="48" w:name="_Toc77400780"/>
      <w:bookmarkStart w:id="49" w:name="_Toc183582214"/>
      <w:bookmarkStart w:id="50" w:name="_Toc183682351"/>
      <w:bookmarkStart w:id="51" w:name="_Toc217446042"/>
      <w:bookmarkStart w:id="52" w:name="_Toc89075876"/>
    </w:p>
    <w:p w14:paraId="2A59D8A0">
      <w:pPr>
        <w:pStyle w:val="4"/>
        <w:keepNext w:val="0"/>
        <w:keepLines w:val="0"/>
        <w:spacing w:before="0" w:after="0" w:line="360" w:lineRule="auto"/>
        <w:jc w:val="center"/>
        <w:rPr>
          <w:rFonts w:ascii="仿宋" w:hAnsi="仿宋" w:eastAsia="仿宋"/>
          <w:bCs w:val="0"/>
          <w:color w:val="auto"/>
          <w:highlight w:val="none"/>
        </w:rPr>
      </w:pPr>
      <w:r>
        <w:rPr>
          <w:rFonts w:hint="eastAsia" w:ascii="仿宋" w:hAnsi="仿宋" w:eastAsia="仿宋"/>
          <w:bCs w:val="0"/>
          <w:color w:val="auto"/>
          <w:highlight w:val="none"/>
        </w:rPr>
        <w:t>四、响应文件</w:t>
      </w:r>
      <w:bookmarkEnd w:id="48"/>
      <w:bookmarkEnd w:id="49"/>
      <w:bookmarkEnd w:id="50"/>
      <w:bookmarkEnd w:id="51"/>
      <w:bookmarkEnd w:id="52"/>
      <w:bookmarkStart w:id="53" w:name="_Toc183582215"/>
      <w:bookmarkStart w:id="54" w:name="_Toc217446043"/>
      <w:bookmarkStart w:id="55" w:name="_Toc183682352"/>
    </w:p>
    <w:p w14:paraId="2301D43B">
      <w:pPr>
        <w:pStyle w:val="5"/>
        <w:keepNext w:val="0"/>
        <w:keepLines w:val="0"/>
        <w:spacing w:before="0" w:after="0" w:line="360" w:lineRule="auto"/>
        <w:ind w:firstLine="482" w:firstLineChars="200"/>
        <w:rPr>
          <w:rFonts w:ascii="仿宋" w:hAnsi="仿宋" w:eastAsia="仿宋"/>
          <w:color w:val="auto"/>
          <w:sz w:val="24"/>
          <w:highlight w:val="none"/>
        </w:rPr>
      </w:pPr>
      <w:r>
        <w:rPr>
          <w:rFonts w:hint="eastAsia" w:ascii="仿宋" w:hAnsi="仿宋" w:eastAsia="仿宋"/>
          <w:color w:val="auto"/>
          <w:sz w:val="24"/>
          <w:highlight w:val="none"/>
        </w:rPr>
        <w:t>13.响应文件的组成</w:t>
      </w:r>
    </w:p>
    <w:p w14:paraId="154176B3">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供应商编写的响应文件应包括资格性响应文件和其他响应文件两部分，分册装订。</w:t>
      </w:r>
    </w:p>
    <w:p w14:paraId="74536213">
      <w:pPr>
        <w:pStyle w:val="5"/>
        <w:keepNext w:val="0"/>
        <w:keepLines w:val="0"/>
        <w:spacing w:before="0" w:after="0" w:line="360" w:lineRule="auto"/>
        <w:ind w:firstLine="482" w:firstLineChars="200"/>
        <w:rPr>
          <w:rFonts w:ascii="仿宋" w:hAnsi="仿宋" w:eastAsia="仿宋"/>
          <w:bCs w:val="0"/>
          <w:color w:val="auto"/>
          <w:sz w:val="24"/>
          <w:highlight w:val="none"/>
        </w:rPr>
      </w:pPr>
      <w:r>
        <w:rPr>
          <w:rFonts w:hint="eastAsia" w:ascii="仿宋" w:hAnsi="仿宋" w:eastAsia="仿宋"/>
          <w:bCs w:val="0"/>
          <w:color w:val="auto"/>
          <w:sz w:val="24"/>
          <w:highlight w:val="none"/>
        </w:rPr>
        <w:t>14.响应文件的语言</w:t>
      </w:r>
      <w:bookmarkEnd w:id="53"/>
      <w:bookmarkEnd w:id="54"/>
      <w:bookmarkEnd w:id="55"/>
    </w:p>
    <w:p w14:paraId="36F4226A">
      <w:pPr>
        <w:tabs>
          <w:tab w:val="left" w:pos="1134"/>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14.1供应商提交的响应文件以及供应商与采购组织单位就有关谈判采购的所有来往书面文件均须使用中文。响应文件中如附有外文资料，主要部分对应翻译成中文并加盖供应商公章后附在相关外文资料后面。</w:t>
      </w:r>
    </w:p>
    <w:p w14:paraId="57253348">
      <w:pPr>
        <w:tabs>
          <w:tab w:val="left" w:pos="1134"/>
        </w:tabs>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14.2翻译的中文资料与外文资料如果出现差异和矛盾时，以中文为准。涉嫌虚假响应的按照相关法律法规处理。</w:t>
      </w:r>
    </w:p>
    <w:p w14:paraId="6006CBDE">
      <w:pPr>
        <w:spacing w:line="360" w:lineRule="auto"/>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14.3未翻译的外文资料，谈判小组可将其视为无效材料。</w:t>
      </w:r>
    </w:p>
    <w:p w14:paraId="63484066">
      <w:pPr>
        <w:pStyle w:val="5"/>
        <w:keepNext w:val="0"/>
        <w:keepLines w:val="0"/>
        <w:spacing w:before="0" w:after="0" w:line="360" w:lineRule="auto"/>
        <w:ind w:firstLine="482" w:firstLineChars="200"/>
        <w:rPr>
          <w:rFonts w:ascii="仿宋" w:hAnsi="仿宋" w:eastAsia="仿宋"/>
          <w:color w:val="auto"/>
          <w:sz w:val="24"/>
          <w:highlight w:val="none"/>
        </w:rPr>
      </w:pPr>
      <w:bookmarkStart w:id="56" w:name="_Toc217446044"/>
      <w:bookmarkStart w:id="57" w:name="_Toc183682353"/>
      <w:bookmarkStart w:id="58" w:name="_Toc183582216"/>
      <w:r>
        <w:rPr>
          <w:rFonts w:hint="eastAsia" w:ascii="仿宋" w:hAnsi="仿宋" w:eastAsia="仿宋"/>
          <w:color w:val="auto"/>
          <w:sz w:val="24"/>
          <w:highlight w:val="none"/>
        </w:rPr>
        <w:t>15.计量单位</w:t>
      </w:r>
      <w:bookmarkEnd w:id="56"/>
      <w:bookmarkEnd w:id="57"/>
      <w:bookmarkEnd w:id="58"/>
      <w:r>
        <w:rPr>
          <w:rFonts w:hint="eastAsia" w:ascii="仿宋" w:hAnsi="仿宋" w:eastAsia="仿宋"/>
          <w:color w:val="auto"/>
          <w:sz w:val="24"/>
          <w:highlight w:val="none"/>
        </w:rPr>
        <w:t>（实质性要求）</w:t>
      </w:r>
    </w:p>
    <w:p w14:paraId="1A8EECE7">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除谈判文件中另有规定外，本次采购项目所有合同项下的报价均采用国家法定的计量单位。</w:t>
      </w:r>
    </w:p>
    <w:p w14:paraId="085A61CA">
      <w:pPr>
        <w:spacing w:line="360" w:lineRule="auto"/>
        <w:ind w:firstLine="470" w:firstLineChars="195"/>
        <w:outlineLvl w:val="2"/>
        <w:rPr>
          <w:rFonts w:ascii="仿宋" w:hAnsi="仿宋" w:eastAsia="仿宋"/>
          <w:b/>
          <w:bCs/>
          <w:color w:val="auto"/>
          <w:sz w:val="24"/>
          <w:highlight w:val="none"/>
        </w:rPr>
      </w:pPr>
      <w:bookmarkStart w:id="59" w:name="_Toc217446045"/>
      <w:r>
        <w:rPr>
          <w:rFonts w:hint="eastAsia" w:ascii="仿宋" w:hAnsi="仿宋" w:eastAsia="仿宋"/>
          <w:b/>
          <w:bCs/>
          <w:color w:val="auto"/>
          <w:sz w:val="24"/>
          <w:highlight w:val="none"/>
        </w:rPr>
        <w:t>16.</w:t>
      </w:r>
      <w:r>
        <w:rPr>
          <w:rFonts w:hint="eastAsia" w:ascii="仿宋" w:hAnsi="仿宋" w:eastAsia="仿宋"/>
          <w:b/>
          <w:color w:val="auto"/>
          <w:sz w:val="24"/>
          <w:highlight w:val="none"/>
        </w:rPr>
        <w:t>报价</w:t>
      </w:r>
      <w:r>
        <w:rPr>
          <w:rFonts w:hint="eastAsia" w:ascii="仿宋" w:hAnsi="仿宋" w:eastAsia="仿宋"/>
          <w:b/>
          <w:bCs/>
          <w:color w:val="auto"/>
          <w:sz w:val="24"/>
          <w:highlight w:val="none"/>
        </w:rPr>
        <w:t>（实质性要求）</w:t>
      </w:r>
    </w:p>
    <w:p w14:paraId="58FED5B9">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供应商应认真核实本项目的工程量清单，如果发现EXCEL版本的工程量清单与纸质版原件工程量清单不一致的，以纸质版原件工程量清单为准。</w:t>
      </w:r>
    </w:p>
    <w:p w14:paraId="14BB3C1F">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所有报价一律以人民币报价。采购人不接受任何非人民币币种的报价。</w:t>
      </w:r>
    </w:p>
    <w:p w14:paraId="7504EA7C">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供应商的报价是其响应本项目要求的全部工作内容的价格体现，包括供应商完成本项目所需的一切费用。</w:t>
      </w:r>
    </w:p>
    <w:p w14:paraId="7506D9F8">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本项目合同价格形式为</w:t>
      </w:r>
      <w:r>
        <w:rPr>
          <w:rFonts w:hint="eastAsia" w:ascii="仿宋" w:hAnsi="仿宋" w:eastAsia="仿宋"/>
          <w:b/>
          <w:color w:val="auto"/>
          <w:sz w:val="24"/>
          <w:highlight w:val="none"/>
        </w:rPr>
        <w:t>固定单价合同</w:t>
      </w:r>
      <w:r>
        <w:rPr>
          <w:rFonts w:hint="eastAsia" w:ascii="仿宋" w:hAnsi="仿宋" w:eastAsia="仿宋"/>
          <w:bCs/>
          <w:color w:val="auto"/>
          <w:sz w:val="24"/>
          <w:highlight w:val="none"/>
        </w:rPr>
        <w:t>。</w:t>
      </w:r>
    </w:p>
    <w:p w14:paraId="5187DFDE">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本项目采用工程量清单报价。已标价工程量清单的扉页（仅指投标总价扉页，下同）应由注册或登记在本单位的造价人员签字并盖执业印章。除此之外，造价人员无需在响应文件其他任何地方签字或盖执业印章。供应商委托工程造价咨询企业编制已标价工程量清单的，应在响应文件中附工程造价咨询委托合同，由注册或登记在工程造价咨询企业的造价人员签字并盖执业印章。</w:t>
      </w:r>
    </w:p>
    <w:p w14:paraId="1D152A5F">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供应</w:t>
      </w:r>
      <w:r>
        <w:rPr>
          <w:rFonts w:ascii="仿宋" w:hAnsi="仿宋" w:eastAsia="仿宋"/>
          <w:bCs/>
          <w:color w:val="auto"/>
          <w:sz w:val="24"/>
          <w:highlight w:val="none"/>
        </w:rPr>
        <w:t>商</w:t>
      </w:r>
      <w:r>
        <w:rPr>
          <w:rFonts w:hint="eastAsia" w:ascii="仿宋" w:hAnsi="仿宋" w:eastAsia="仿宋"/>
          <w:bCs/>
          <w:color w:val="auto"/>
          <w:sz w:val="24"/>
          <w:highlight w:val="none"/>
        </w:rPr>
        <w:t>报价超过采购预算或最高限价（金额详见“供应商须知附表”）的, 其响应文件按无效处理。</w:t>
      </w:r>
    </w:p>
    <w:p w14:paraId="55C4BF9F">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供应商在首次提交的响应文件中的报价（即首次报价）应按谈判文件及工程量清单编制要求，列出报价的构成及明细，包括但不限于分部分项工程、措施项目、其他项目、规费及税金等。其中安全文明施工费、暂定金额、暂估价、规费及税金应按工程量清单（总说明）的要求计取。</w:t>
      </w:r>
    </w:p>
    <w:p w14:paraId="68592A42">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供应商对工程量清单中的分部分项工程量清单项目的单价未填报或填报为零的，视为单价遗漏。出现单价遗漏情况，视为供应商向采购人承诺单价遗漏项目免费，或视为其费用已分摊在工程量清单其他相关子目的单价（价格）之中。如成交，供应商应完成该项目，但该项目不得另行计价。</w:t>
      </w:r>
    </w:p>
    <w:p w14:paraId="06F8E4BD">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供应商提交的已标价工程量清单应符合本项目工程量清单以及清单说明的要求。当供应商的已标价工程量清单有下列情形之一的，应按照无效响应文件处理。</w:t>
      </w:r>
    </w:p>
    <w:p w14:paraId="29EF952B">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已标价工程量清单中的项目编码、项目名称、项目特征描述（与采购文件工程量清单中的项目特征描述的实质性内容一致的除外）、计量单位、工程量与采购文件工程量清单不一致的；</w:t>
      </w:r>
    </w:p>
    <w:p w14:paraId="2405D86B">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供应</w:t>
      </w:r>
      <w:r>
        <w:rPr>
          <w:rFonts w:ascii="仿宋" w:hAnsi="仿宋" w:eastAsia="仿宋"/>
          <w:bCs/>
          <w:color w:val="auto"/>
          <w:sz w:val="24"/>
          <w:highlight w:val="none"/>
        </w:rPr>
        <w:t>商</w:t>
      </w:r>
      <w:r>
        <w:rPr>
          <w:rFonts w:hint="eastAsia" w:ascii="仿宋" w:hAnsi="仿宋" w:eastAsia="仿宋"/>
          <w:bCs/>
          <w:color w:val="auto"/>
          <w:sz w:val="24"/>
          <w:highlight w:val="none"/>
        </w:rPr>
        <w:t>未按采购文件工程</w:t>
      </w:r>
      <w:r>
        <w:rPr>
          <w:rFonts w:ascii="仿宋" w:hAnsi="仿宋" w:eastAsia="仿宋"/>
          <w:bCs/>
          <w:color w:val="auto"/>
          <w:sz w:val="24"/>
          <w:highlight w:val="none"/>
        </w:rPr>
        <w:t>量</w:t>
      </w:r>
      <w:r>
        <w:rPr>
          <w:rFonts w:hint="eastAsia" w:ascii="仿宋" w:hAnsi="仿宋" w:eastAsia="仿宋"/>
          <w:bCs/>
          <w:color w:val="auto"/>
          <w:sz w:val="24"/>
          <w:highlight w:val="none"/>
        </w:rPr>
        <w:t>清单总</w:t>
      </w:r>
      <w:r>
        <w:rPr>
          <w:rFonts w:ascii="仿宋" w:hAnsi="仿宋" w:eastAsia="仿宋"/>
          <w:bCs/>
          <w:color w:val="auto"/>
          <w:sz w:val="24"/>
          <w:highlight w:val="none"/>
        </w:rPr>
        <w:t>说明</w:t>
      </w:r>
      <w:r>
        <w:rPr>
          <w:rFonts w:hint="eastAsia" w:ascii="仿宋" w:hAnsi="仿宋" w:eastAsia="仿宋"/>
          <w:bCs/>
          <w:color w:val="auto"/>
          <w:sz w:val="24"/>
          <w:highlight w:val="none"/>
        </w:rPr>
        <w:t>规定或其持有的《四川省施工企业工程规费计取标准》证书中的规费标准(采购文件工程量清单总说明无规定时)计取规费的；</w:t>
      </w:r>
    </w:p>
    <w:p w14:paraId="71FDEC63">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采购</w:t>
      </w:r>
      <w:r>
        <w:rPr>
          <w:rFonts w:ascii="仿宋" w:hAnsi="仿宋" w:eastAsia="仿宋"/>
          <w:bCs/>
          <w:color w:val="auto"/>
          <w:sz w:val="24"/>
          <w:highlight w:val="none"/>
        </w:rPr>
        <w:t>文件</w:t>
      </w:r>
      <w:r>
        <w:rPr>
          <w:rFonts w:hint="eastAsia" w:ascii="仿宋" w:hAnsi="仿宋" w:eastAsia="仿宋"/>
          <w:bCs/>
          <w:color w:val="auto"/>
          <w:sz w:val="24"/>
          <w:highlight w:val="none"/>
        </w:rPr>
        <w:t>明确了安全文明施工费金额或费率并要求按此金额或费率填报而供应商填报错误或未填报的；</w:t>
      </w:r>
    </w:p>
    <w:p w14:paraId="6F0ABC5F">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已标价工程量清单中暂列金额未按采购</w:t>
      </w:r>
      <w:r>
        <w:rPr>
          <w:rFonts w:ascii="仿宋" w:hAnsi="仿宋" w:eastAsia="仿宋"/>
          <w:bCs/>
          <w:color w:val="auto"/>
          <w:sz w:val="24"/>
          <w:highlight w:val="none"/>
        </w:rPr>
        <w:t>文件</w:t>
      </w:r>
      <w:r>
        <w:rPr>
          <w:rFonts w:hint="eastAsia" w:ascii="仿宋" w:hAnsi="仿宋" w:eastAsia="仿宋"/>
          <w:bCs/>
          <w:color w:val="auto"/>
          <w:sz w:val="24"/>
          <w:highlight w:val="none"/>
        </w:rPr>
        <w:t>工程量清单中列明的金额填报的；</w:t>
      </w:r>
    </w:p>
    <w:p w14:paraId="1D79011C">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已标价工程量清单中材料、工程设备暂估价未按采购文件工程量清单中列出的单价计入综合单价的；</w:t>
      </w:r>
    </w:p>
    <w:p w14:paraId="2AF27637">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已标价工程量清单中专业工程暂估价未按采购文件工程量清单中列明的金额填写的；</w:t>
      </w:r>
    </w:p>
    <w:p w14:paraId="268BB8AE">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已标价工程量清单中计日工未按采购文件工程量清单中列明的数量进行报价的；</w:t>
      </w:r>
    </w:p>
    <w:p w14:paraId="2AE73C14">
      <w:pPr>
        <w:numPr>
          <w:ilvl w:val="0"/>
          <w:numId w:val="3"/>
        </w:numPr>
        <w:spacing w:line="360" w:lineRule="auto"/>
        <w:ind w:left="993" w:hanging="567"/>
        <w:rPr>
          <w:rFonts w:ascii="仿宋" w:hAnsi="仿宋" w:eastAsia="仿宋"/>
          <w:bCs/>
          <w:color w:val="auto"/>
          <w:sz w:val="24"/>
          <w:highlight w:val="none"/>
        </w:rPr>
      </w:pPr>
      <w:r>
        <w:rPr>
          <w:rFonts w:hint="eastAsia" w:ascii="仿宋" w:hAnsi="仿宋" w:eastAsia="仿宋"/>
          <w:bCs/>
          <w:color w:val="auto"/>
          <w:sz w:val="24"/>
          <w:highlight w:val="none"/>
        </w:rPr>
        <w:t>当已标价工程量清单中的任何单价、合价或总价，出现两个及以上金额的。</w:t>
      </w:r>
    </w:p>
    <w:p w14:paraId="3A9E0E5B">
      <w:pPr>
        <w:numPr>
          <w:ilvl w:val="0"/>
          <w:numId w:val="2"/>
        </w:numPr>
        <w:spacing w:line="360" w:lineRule="auto"/>
        <w:ind w:left="0" w:firstLine="426"/>
        <w:rPr>
          <w:rFonts w:ascii="仿宋" w:hAnsi="仿宋" w:eastAsia="仿宋"/>
          <w:bCs/>
          <w:color w:val="auto"/>
          <w:sz w:val="24"/>
          <w:highlight w:val="none"/>
        </w:rPr>
      </w:pPr>
      <w:r>
        <w:rPr>
          <w:rFonts w:hint="eastAsia" w:ascii="仿宋" w:hAnsi="仿宋" w:eastAsia="仿宋"/>
          <w:bCs/>
          <w:color w:val="auto"/>
          <w:sz w:val="24"/>
          <w:highlight w:val="none"/>
        </w:rPr>
        <w:t>若供应商的最后报价只有一个总价，且相对首次报价有调整（上调取“+”，下调取“-”</w:t>
      </w:r>
      <w:r>
        <w:rPr>
          <w:rFonts w:ascii="仿宋" w:hAnsi="仿宋" w:eastAsia="仿宋"/>
          <w:bCs/>
          <w:color w:val="auto"/>
          <w:sz w:val="24"/>
          <w:highlight w:val="none"/>
        </w:rPr>
        <w:t>）</w:t>
      </w:r>
      <w:r>
        <w:rPr>
          <w:rFonts w:hint="eastAsia" w:ascii="仿宋" w:hAnsi="仿宋" w:eastAsia="仿宋"/>
          <w:bCs/>
          <w:color w:val="auto"/>
          <w:sz w:val="24"/>
          <w:highlight w:val="none"/>
        </w:rPr>
        <w:t>，则该调整金额将会以百分比（A</w:t>
      </w:r>
      <w:r>
        <w:rPr>
          <w:rFonts w:ascii="仿宋" w:hAnsi="仿宋" w:eastAsia="仿宋"/>
          <w:bCs/>
          <w:color w:val="auto"/>
          <w:sz w:val="24"/>
          <w:highlight w:val="none"/>
        </w:rPr>
        <w:t>）</w:t>
      </w:r>
      <w:r>
        <w:rPr>
          <w:rFonts w:hint="eastAsia" w:ascii="仿宋" w:hAnsi="仿宋" w:eastAsia="仿宋"/>
          <w:bCs/>
          <w:color w:val="auto"/>
          <w:sz w:val="24"/>
          <w:highlight w:val="none"/>
        </w:rPr>
        <w:t>形式套用于首次报价中除暂列金额、专业暂估价以及包干费用以外的各项目单价，调整后的单价（B</w:t>
      </w:r>
      <w:r>
        <w:rPr>
          <w:rFonts w:ascii="仿宋" w:hAnsi="仿宋" w:eastAsia="仿宋"/>
          <w:bCs/>
          <w:color w:val="auto"/>
          <w:sz w:val="24"/>
          <w:highlight w:val="none"/>
        </w:rPr>
        <w:t>）</w:t>
      </w:r>
      <w:r>
        <w:rPr>
          <w:rFonts w:hint="eastAsia" w:ascii="仿宋" w:hAnsi="仿宋" w:eastAsia="仿宋"/>
          <w:bCs/>
          <w:color w:val="auto"/>
          <w:sz w:val="24"/>
          <w:highlight w:val="none"/>
        </w:rPr>
        <w:t>作为工程变更及竣工结算的依据。百分比（A</w:t>
      </w:r>
      <w:r>
        <w:rPr>
          <w:rFonts w:ascii="仿宋" w:hAnsi="仿宋" w:eastAsia="仿宋"/>
          <w:bCs/>
          <w:color w:val="auto"/>
          <w:sz w:val="24"/>
          <w:highlight w:val="none"/>
        </w:rPr>
        <w:t>）</w:t>
      </w:r>
      <w:r>
        <w:rPr>
          <w:rFonts w:hint="eastAsia" w:ascii="仿宋" w:hAnsi="仿宋" w:eastAsia="仿宋"/>
          <w:bCs/>
          <w:color w:val="auto"/>
          <w:sz w:val="24"/>
          <w:highlight w:val="none"/>
        </w:rPr>
        <w:t>计算如下（保留两位小数）：</w:t>
      </w:r>
    </w:p>
    <w:p w14:paraId="22824F1E">
      <w:pPr>
        <w:spacing w:line="360" w:lineRule="auto"/>
        <w:ind w:left="426"/>
        <w:rPr>
          <w:rFonts w:ascii="仿宋" w:hAnsi="仿宋" w:eastAsia="仿宋"/>
          <w:bCs/>
          <w:color w:val="auto"/>
          <w:sz w:val="24"/>
          <w:highlight w:val="none"/>
        </w:rPr>
      </w:pPr>
    </w:p>
    <w:p w14:paraId="650C7526">
      <w:pPr>
        <w:spacing w:line="240" w:lineRule="atLeast"/>
        <w:ind w:firstLine="468" w:firstLineChars="195"/>
        <w:rPr>
          <w:rFonts w:ascii="仿宋" w:hAnsi="仿宋" w:eastAsia="仿宋"/>
          <w:bCs/>
          <w:color w:val="auto"/>
          <w:sz w:val="24"/>
          <w:highlight w:val="none"/>
        </w:rPr>
      </w:pPr>
      <w:r>
        <w:rPr>
          <w:rFonts w:hint="eastAsia" w:ascii="仿宋" w:hAnsi="仿宋" w:eastAsia="仿宋"/>
          <w:bCs/>
          <w:color w:val="auto"/>
          <w:sz w:val="24"/>
          <w:highlight w:val="none"/>
        </w:rPr>
        <w:t xml:space="preserve">             </w:t>
      </w:r>
      <w:r>
        <w:rPr>
          <w:rFonts w:hint="eastAsia" w:ascii="仿宋" w:hAnsi="仿宋" w:eastAsia="仿宋"/>
          <w:bCs/>
          <w:color w:val="auto"/>
          <w:sz w:val="24"/>
          <w:highlight w:val="none"/>
        </w:rPr>
        <w:tab/>
      </w:r>
      <w:r>
        <w:rPr>
          <w:rFonts w:hint="eastAsia" w:ascii="仿宋" w:hAnsi="仿宋" w:eastAsia="仿宋"/>
          <w:bCs/>
          <w:color w:val="auto"/>
          <w:sz w:val="24"/>
          <w:highlight w:val="none"/>
        </w:rPr>
        <w:tab/>
      </w:r>
      <w:r>
        <w:rPr>
          <w:rFonts w:hint="eastAsia" w:ascii="仿宋" w:hAnsi="仿宋" w:eastAsia="仿宋"/>
          <w:bCs/>
          <w:color w:val="auto"/>
          <w:sz w:val="24"/>
          <w:highlight w:val="none"/>
        </w:rPr>
        <w:t xml:space="preserve">          （</w:t>
      </w:r>
      <w:r>
        <w:rPr>
          <w:rFonts w:hint="eastAsia" w:ascii="Cambria Math" w:hAnsi="Cambria Math" w:eastAsia="仿宋" w:cs="Cambria Math"/>
          <w:bCs/>
          <w:color w:val="auto"/>
          <w:sz w:val="24"/>
          <w:highlight w:val="none"/>
        </w:rPr>
        <w:t>±</w:t>
      </w:r>
      <w:r>
        <w:rPr>
          <w:rFonts w:ascii="仿宋" w:hAnsi="仿宋" w:eastAsia="仿宋"/>
          <w:bCs/>
          <w:color w:val="auto"/>
          <w:sz w:val="24"/>
          <w:highlight w:val="none"/>
        </w:rPr>
        <w:t>）</w:t>
      </w:r>
      <w:r>
        <w:rPr>
          <w:rFonts w:hint="eastAsia" w:ascii="仿宋" w:hAnsi="仿宋" w:eastAsia="仿宋"/>
          <w:bCs/>
          <w:color w:val="auto"/>
          <w:sz w:val="24"/>
          <w:highlight w:val="none"/>
        </w:rPr>
        <w:t xml:space="preserve">调整金额                                                  </w:t>
      </w:r>
    </w:p>
    <w:p w14:paraId="13DEF137">
      <w:pPr>
        <w:spacing w:line="240" w:lineRule="atLeast"/>
        <w:rPr>
          <w:rFonts w:ascii="仿宋" w:hAnsi="仿宋" w:eastAsia="仿宋"/>
          <w:bCs/>
          <w:color w:val="auto"/>
          <w:sz w:val="24"/>
          <w:highlight w:val="none"/>
        </w:rPr>
      </w:pPr>
      <w:r>
        <w:rPr>
          <w:rFonts w:hint="eastAsia" w:ascii="仿宋" w:hAnsi="仿宋" w:eastAsia="仿宋"/>
          <w:bCs/>
          <w:color w:val="auto"/>
          <w:sz w:val="24"/>
          <w:highlight w:val="none"/>
        </w:rPr>
        <w:t>百分比（A</w:t>
      </w:r>
      <w:r>
        <w:rPr>
          <w:rFonts w:ascii="仿宋" w:hAnsi="仿宋" w:eastAsia="仿宋"/>
          <w:bCs/>
          <w:color w:val="auto"/>
          <w:sz w:val="24"/>
          <w:highlight w:val="none"/>
        </w:rPr>
        <w:t>）</w:t>
      </w:r>
      <w:r>
        <w:rPr>
          <w:rFonts w:hint="eastAsia" w:ascii="仿宋" w:hAnsi="仿宋" w:eastAsia="仿宋"/>
          <w:bCs/>
          <w:color w:val="auto"/>
          <w:sz w:val="24"/>
          <w:highlight w:val="none"/>
        </w:rPr>
        <w:t xml:space="preserve">= </w:t>
      </w:r>
      <w:r>
        <w:rPr>
          <w:rFonts w:hint="eastAsia" w:ascii="仿宋" w:hAnsi="仿宋" w:eastAsia="仿宋"/>
          <w:bCs/>
          <w:strike/>
          <w:color w:val="auto"/>
          <w:sz w:val="24"/>
          <w:highlight w:val="none"/>
        </w:rPr>
        <w:t xml:space="preserve">                             </w:t>
      </w:r>
      <w:r>
        <w:rPr>
          <w:rFonts w:ascii="仿宋" w:hAnsi="仿宋" w:eastAsia="仿宋"/>
          <w:bCs/>
          <w:strike/>
          <w:color w:val="auto"/>
          <w:sz w:val="24"/>
          <w:highlight w:val="none"/>
        </w:rPr>
        <w:t xml:space="preserve"> </w:t>
      </w:r>
      <w:r>
        <w:rPr>
          <w:rFonts w:hint="eastAsia" w:ascii="仿宋" w:hAnsi="仿宋" w:eastAsia="仿宋"/>
          <w:bCs/>
          <w:strike/>
          <w:color w:val="auto"/>
          <w:sz w:val="24"/>
          <w:highlight w:val="none"/>
        </w:rPr>
        <w:t xml:space="preserve">      </w:t>
      </w:r>
      <w:r>
        <w:rPr>
          <w:rFonts w:ascii="仿宋" w:hAnsi="仿宋" w:eastAsia="仿宋"/>
          <w:bCs/>
          <w:strike/>
          <w:color w:val="auto"/>
          <w:sz w:val="24"/>
          <w:highlight w:val="none"/>
        </w:rPr>
        <w:t xml:space="preserve">    </w:t>
      </w:r>
      <w:r>
        <w:rPr>
          <w:rFonts w:hint="eastAsia" w:ascii="仿宋" w:hAnsi="仿宋" w:eastAsia="仿宋"/>
          <w:bCs/>
          <w:strike/>
          <w:color w:val="auto"/>
          <w:sz w:val="24"/>
          <w:highlight w:val="none"/>
        </w:rPr>
        <w:t xml:space="preserve">          </w:t>
      </w:r>
      <w:r>
        <w:rPr>
          <w:rFonts w:hint="eastAsia" w:ascii="仿宋" w:hAnsi="仿宋" w:eastAsia="仿宋"/>
          <w:bCs/>
          <w:color w:val="auto"/>
          <w:sz w:val="24"/>
          <w:highlight w:val="none"/>
        </w:rPr>
        <w:t>×100%</w:t>
      </w:r>
    </w:p>
    <w:p w14:paraId="0F48B502">
      <w:pPr>
        <w:spacing w:line="240" w:lineRule="atLeast"/>
        <w:ind w:firstLine="1680" w:firstLineChars="700"/>
        <w:rPr>
          <w:rFonts w:ascii="仿宋" w:hAnsi="仿宋" w:eastAsia="仿宋"/>
          <w:bCs/>
          <w:color w:val="auto"/>
          <w:sz w:val="24"/>
          <w:highlight w:val="none"/>
        </w:rPr>
      </w:pPr>
      <w:r>
        <w:rPr>
          <w:rFonts w:hint="eastAsia" w:ascii="仿宋" w:hAnsi="仿宋" w:eastAsia="仿宋"/>
          <w:bCs/>
          <w:color w:val="auto"/>
          <w:sz w:val="24"/>
          <w:highlight w:val="none"/>
        </w:rPr>
        <w:t>修正后的首次报价-暂列金额-</w:t>
      </w:r>
      <w:r>
        <w:rPr>
          <w:rFonts w:ascii="仿宋" w:hAnsi="仿宋" w:eastAsia="仿宋"/>
          <w:bCs/>
          <w:color w:val="auto"/>
          <w:sz w:val="24"/>
          <w:highlight w:val="none"/>
        </w:rPr>
        <w:t>专业工程</w:t>
      </w:r>
      <w:r>
        <w:rPr>
          <w:rFonts w:hint="eastAsia" w:ascii="仿宋" w:hAnsi="仿宋" w:eastAsia="仿宋"/>
          <w:bCs/>
          <w:color w:val="auto"/>
          <w:sz w:val="24"/>
          <w:highlight w:val="none"/>
        </w:rPr>
        <w:t>暂估价-包干费用</w:t>
      </w:r>
    </w:p>
    <w:p w14:paraId="6737ACB8">
      <w:pPr>
        <w:spacing w:line="240" w:lineRule="atLeast"/>
        <w:rPr>
          <w:rFonts w:ascii="仿宋" w:hAnsi="仿宋" w:eastAsia="仿宋"/>
          <w:bCs/>
          <w:color w:val="auto"/>
          <w:sz w:val="24"/>
          <w:highlight w:val="none"/>
        </w:rPr>
      </w:pPr>
    </w:p>
    <w:p w14:paraId="586CAFD2">
      <w:pPr>
        <w:spacing w:line="240" w:lineRule="atLeast"/>
        <w:ind w:firstLine="1680" w:firstLineChars="700"/>
        <w:rPr>
          <w:rFonts w:ascii="仿宋" w:hAnsi="仿宋" w:eastAsia="仿宋"/>
          <w:bCs/>
          <w:color w:val="auto"/>
          <w:sz w:val="24"/>
          <w:highlight w:val="none"/>
        </w:rPr>
      </w:pPr>
    </w:p>
    <w:p w14:paraId="67272082">
      <w:pPr>
        <w:spacing w:line="360" w:lineRule="auto"/>
        <w:ind w:firstLine="468" w:firstLineChars="195"/>
        <w:rPr>
          <w:rFonts w:ascii="仿宋" w:hAnsi="仿宋" w:eastAsia="仿宋"/>
          <w:bCs/>
          <w:color w:val="auto"/>
          <w:sz w:val="24"/>
          <w:highlight w:val="none"/>
        </w:rPr>
      </w:pPr>
      <w:r>
        <w:rPr>
          <w:rFonts w:hint="eastAsia" w:ascii="仿宋" w:hAnsi="仿宋" w:eastAsia="仿宋"/>
          <w:bCs/>
          <w:color w:val="auto"/>
          <w:sz w:val="24"/>
          <w:highlight w:val="none"/>
        </w:rPr>
        <w:t>调整</w:t>
      </w:r>
      <w:r>
        <w:rPr>
          <w:rFonts w:ascii="仿宋" w:hAnsi="仿宋" w:eastAsia="仿宋"/>
          <w:bCs/>
          <w:color w:val="auto"/>
          <w:sz w:val="24"/>
          <w:highlight w:val="none"/>
        </w:rPr>
        <w:t>后的单价</w:t>
      </w:r>
      <w:r>
        <w:rPr>
          <w:rFonts w:hint="eastAsia" w:ascii="仿宋" w:hAnsi="仿宋" w:eastAsia="仿宋"/>
          <w:bCs/>
          <w:color w:val="auto"/>
          <w:sz w:val="24"/>
          <w:highlight w:val="none"/>
        </w:rPr>
        <w:t>B</w:t>
      </w:r>
      <w:r>
        <w:rPr>
          <w:rFonts w:ascii="仿宋" w:hAnsi="仿宋" w:eastAsia="仿宋"/>
          <w:bCs/>
          <w:color w:val="auto"/>
          <w:sz w:val="24"/>
          <w:highlight w:val="none"/>
        </w:rPr>
        <w:t xml:space="preserve"> =</w:t>
      </w:r>
      <w:r>
        <w:rPr>
          <w:rFonts w:hint="eastAsia" w:ascii="仿宋" w:hAnsi="仿宋" w:eastAsia="仿宋"/>
          <w:bCs/>
          <w:color w:val="auto"/>
          <w:sz w:val="24"/>
          <w:highlight w:val="none"/>
        </w:rPr>
        <w:t>修正后的首次报价中</w:t>
      </w:r>
      <w:r>
        <w:rPr>
          <w:rFonts w:ascii="仿宋" w:hAnsi="仿宋" w:eastAsia="仿宋"/>
          <w:bCs/>
          <w:color w:val="auto"/>
          <w:sz w:val="24"/>
          <w:highlight w:val="none"/>
        </w:rPr>
        <w:t>的单价</w:t>
      </w:r>
      <w:r>
        <w:rPr>
          <w:rFonts w:hint="eastAsia" w:ascii="仿宋" w:hAnsi="仿宋" w:eastAsia="仿宋"/>
          <w:bCs/>
          <w:color w:val="auto"/>
          <w:sz w:val="24"/>
          <w:highlight w:val="none"/>
        </w:rPr>
        <w:t>×（</w:t>
      </w:r>
      <w:r>
        <w:rPr>
          <w:rFonts w:ascii="仿宋" w:hAnsi="仿宋" w:eastAsia="仿宋"/>
          <w:bCs/>
          <w:color w:val="auto"/>
          <w:sz w:val="24"/>
          <w:highlight w:val="none"/>
        </w:rPr>
        <w:t>1 + A</w:t>
      </w:r>
      <w:r>
        <w:rPr>
          <w:rFonts w:hint="eastAsia" w:ascii="仿宋" w:hAnsi="仿宋" w:eastAsia="仿宋"/>
          <w:bCs/>
          <w:color w:val="auto"/>
          <w:sz w:val="24"/>
          <w:highlight w:val="none"/>
        </w:rPr>
        <w:t>）</w:t>
      </w:r>
    </w:p>
    <w:p w14:paraId="261986BB">
      <w:pPr>
        <w:spacing w:line="360" w:lineRule="auto"/>
        <w:ind w:firstLine="470" w:firstLineChars="195"/>
        <w:rPr>
          <w:rFonts w:ascii="仿宋" w:hAnsi="仿宋" w:eastAsia="仿宋"/>
          <w:b/>
          <w:bCs/>
          <w:color w:val="auto"/>
          <w:sz w:val="24"/>
          <w:highlight w:val="none"/>
        </w:rPr>
      </w:pPr>
    </w:p>
    <w:bookmarkEnd w:id="59"/>
    <w:p w14:paraId="5BB4F948">
      <w:pPr>
        <w:spacing w:line="360" w:lineRule="auto"/>
        <w:ind w:left="2" w:leftChars="1" w:firstLine="482" w:firstLineChars="200"/>
        <w:outlineLvl w:val="2"/>
        <w:rPr>
          <w:rFonts w:ascii="仿宋" w:hAnsi="仿宋" w:eastAsia="仿宋"/>
          <w:b/>
          <w:color w:val="auto"/>
          <w:sz w:val="24"/>
          <w:highlight w:val="none"/>
        </w:rPr>
      </w:pPr>
      <w:r>
        <w:rPr>
          <w:rFonts w:hint="eastAsia" w:ascii="仿宋" w:hAnsi="仿宋" w:eastAsia="仿宋"/>
          <w:b/>
          <w:color w:val="auto"/>
          <w:sz w:val="24"/>
          <w:highlight w:val="none"/>
        </w:rPr>
        <w:t>17.响应文件格式</w:t>
      </w:r>
    </w:p>
    <w:p w14:paraId="499F12A3">
      <w:pPr>
        <w:spacing w:line="360" w:lineRule="auto"/>
        <w:ind w:left="2" w:leftChars="1" w:firstLine="480" w:firstLineChars="200"/>
        <w:rPr>
          <w:rFonts w:ascii="仿宋" w:hAnsi="仿宋" w:eastAsia="仿宋"/>
          <w:color w:val="auto"/>
          <w:sz w:val="24"/>
          <w:highlight w:val="none"/>
        </w:rPr>
      </w:pPr>
      <w:r>
        <w:rPr>
          <w:rFonts w:hint="eastAsia" w:ascii="仿宋" w:hAnsi="仿宋" w:eastAsia="仿宋"/>
          <w:color w:val="auto"/>
          <w:sz w:val="24"/>
          <w:highlight w:val="none"/>
        </w:rPr>
        <w:t>17.1供应商应执行谈判文件第七章的规定要求。</w:t>
      </w:r>
    </w:p>
    <w:p w14:paraId="4FD1BFDA">
      <w:pPr>
        <w:spacing w:line="360" w:lineRule="auto"/>
        <w:ind w:left="2" w:leftChars="1" w:firstLine="480" w:firstLineChars="200"/>
        <w:rPr>
          <w:rFonts w:ascii="仿宋" w:hAnsi="仿宋" w:eastAsia="仿宋"/>
          <w:color w:val="auto"/>
          <w:sz w:val="24"/>
          <w:highlight w:val="none"/>
        </w:rPr>
      </w:pPr>
      <w:r>
        <w:rPr>
          <w:rFonts w:hint="eastAsia" w:ascii="仿宋" w:hAnsi="仿宋" w:eastAsia="仿宋"/>
          <w:color w:val="auto"/>
          <w:sz w:val="24"/>
          <w:highlight w:val="none"/>
        </w:rPr>
        <w:t>17.2对于没有格式要求的谈判文件由供应商自行编写。</w:t>
      </w:r>
    </w:p>
    <w:p w14:paraId="06807E8A">
      <w:pPr>
        <w:spacing w:line="360" w:lineRule="auto"/>
        <w:ind w:firstLine="470" w:firstLineChars="196"/>
        <w:rPr>
          <w:rFonts w:ascii="仿宋" w:hAnsi="仿宋" w:eastAsia="仿宋"/>
          <w:color w:val="auto"/>
          <w:sz w:val="24"/>
          <w:highlight w:val="none"/>
        </w:rPr>
      </w:pPr>
      <w:bookmarkStart w:id="60" w:name="_Toc183682361"/>
      <w:bookmarkStart w:id="61" w:name="_Toc183582224"/>
      <w:bookmarkStart w:id="62" w:name="_Toc217446051"/>
    </w:p>
    <w:p w14:paraId="62157A4A">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18.响应文件的编制和签署</w:t>
      </w:r>
    </w:p>
    <w:p w14:paraId="5D57B3F0">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18.1资格性响应文件正本</w:t>
      </w:r>
      <w:r>
        <w:rPr>
          <w:rFonts w:ascii="仿宋" w:hAnsi="仿宋" w:eastAsia="仿宋"/>
          <w:color w:val="auto"/>
          <w:sz w:val="24"/>
          <w:highlight w:val="none"/>
        </w:rPr>
        <w:t>1</w:t>
      </w:r>
      <w:r>
        <w:rPr>
          <w:rFonts w:hint="eastAsia" w:ascii="仿宋" w:hAnsi="仿宋" w:eastAsia="仿宋"/>
          <w:color w:val="auto"/>
          <w:sz w:val="24"/>
          <w:highlight w:val="none"/>
        </w:rPr>
        <w:t>份副本</w:t>
      </w:r>
      <w:r>
        <w:rPr>
          <w:rFonts w:ascii="仿宋" w:hAnsi="仿宋" w:eastAsia="仿宋"/>
          <w:color w:val="auto"/>
          <w:sz w:val="24"/>
          <w:highlight w:val="none"/>
        </w:rPr>
        <w:t>2</w:t>
      </w:r>
      <w:r>
        <w:rPr>
          <w:rFonts w:hint="eastAsia" w:ascii="仿宋" w:hAnsi="仿宋" w:eastAsia="仿宋"/>
          <w:color w:val="auto"/>
          <w:sz w:val="24"/>
          <w:highlight w:val="none"/>
        </w:rPr>
        <w:t>份，并在其封面上清楚地标明资格性响应文件、采购项目名称、采购项目编号、包件号及名称（若有）、供应商名称以及“正本”或“副本”字样。若正本和副本有不一致的内容，以正本书面响应文件为准。</w:t>
      </w:r>
    </w:p>
    <w:p w14:paraId="09DA569A">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18.2其他响应文件正本</w:t>
      </w:r>
      <w:r>
        <w:rPr>
          <w:rFonts w:ascii="仿宋" w:hAnsi="仿宋" w:eastAsia="仿宋"/>
          <w:color w:val="auto"/>
          <w:sz w:val="24"/>
          <w:highlight w:val="none"/>
        </w:rPr>
        <w:t>1</w:t>
      </w:r>
      <w:r>
        <w:rPr>
          <w:rFonts w:hint="eastAsia" w:ascii="仿宋" w:hAnsi="仿宋" w:eastAsia="仿宋"/>
          <w:color w:val="auto"/>
          <w:sz w:val="24"/>
          <w:highlight w:val="none"/>
        </w:rPr>
        <w:t>份副本</w:t>
      </w:r>
      <w:r>
        <w:rPr>
          <w:rFonts w:ascii="仿宋" w:hAnsi="仿宋" w:eastAsia="仿宋"/>
          <w:color w:val="auto"/>
          <w:sz w:val="24"/>
          <w:highlight w:val="none"/>
        </w:rPr>
        <w:t>2</w:t>
      </w:r>
      <w:r>
        <w:rPr>
          <w:rFonts w:hint="eastAsia" w:ascii="仿宋" w:hAnsi="仿宋" w:eastAsia="仿宋"/>
          <w:color w:val="auto"/>
          <w:sz w:val="24"/>
          <w:highlight w:val="none"/>
        </w:rPr>
        <w:t>份，并在其封面上清楚地标明其他响应文件、采购项目名称、采购项目编号、包件号及名称（若有）、供应商名称以及“正本”或“副本”字样。若正本和副本有不一致的内容，以正本书面响应文件为准。</w:t>
      </w:r>
    </w:p>
    <w:bookmarkEnd w:id="60"/>
    <w:bookmarkEnd w:id="61"/>
    <w:bookmarkEnd w:id="62"/>
    <w:p w14:paraId="045E1E38">
      <w:pPr>
        <w:tabs>
          <w:tab w:val="left" w:pos="1095"/>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18.3响应文件正本和副本均需打印或用不褪色、不变质的墨水书写，并在规定签章处签字和盖章。响应文件副本可采用正本的复印件，提供电子文档1份采用U盘制作（包括但不限于由专业计价软件编制的报价文件及其导出的EXCEL文件）。</w:t>
      </w:r>
    </w:p>
    <w:p w14:paraId="24696691">
      <w:pPr>
        <w:tabs>
          <w:tab w:val="left" w:pos="1095"/>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18.4响应文件的打印和书写应清楚工整，任何行间插字、涂改或增删，必须由供应商的法定代表人/单位负责人或其授权代表签字并盖供应商公章。</w:t>
      </w:r>
    </w:p>
    <w:p w14:paraId="258206AF">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18.5</w:t>
      </w:r>
      <w:r>
        <w:rPr>
          <w:rFonts w:hint="eastAsia" w:ascii="仿宋" w:hAnsi="仿宋" w:eastAsia="仿宋"/>
          <w:b/>
          <w:color w:val="auto"/>
          <w:sz w:val="24"/>
          <w:highlight w:val="none"/>
        </w:rPr>
        <w:t>（实质性要求）</w:t>
      </w:r>
      <w:r>
        <w:rPr>
          <w:rFonts w:hint="eastAsia" w:ascii="仿宋" w:hAnsi="仿宋" w:eastAsia="仿宋"/>
          <w:color w:val="auto"/>
          <w:sz w:val="24"/>
          <w:highlight w:val="none"/>
        </w:rPr>
        <w:t>响应文件应由供应商法定代表人/主要负责人/本人或其授权代表在响应文件要求的地方签字</w:t>
      </w:r>
      <w:r>
        <w:rPr>
          <w:rFonts w:hint="eastAsia" w:ascii="仿宋" w:hAnsi="仿宋" w:eastAsia="仿宋"/>
          <w:bCs/>
          <w:color w:val="auto"/>
          <w:sz w:val="24"/>
          <w:highlight w:val="none"/>
        </w:rPr>
        <w:t>（注：</w:t>
      </w:r>
      <w:r>
        <w:rPr>
          <w:rFonts w:hint="eastAsia" w:ascii="仿宋" w:hAnsi="仿宋" w:eastAsia="仿宋"/>
          <w:color w:val="auto"/>
          <w:sz w:val="24"/>
          <w:highlight w:val="none"/>
        </w:rPr>
        <w:t>供应商为法人的，应当由其法定代表人或者</w:t>
      </w:r>
      <w:r>
        <w:rPr>
          <w:rFonts w:hint="eastAsia" w:ascii="仿宋" w:hAnsi="仿宋" w:eastAsia="仿宋"/>
          <w:bCs/>
          <w:color w:val="auto"/>
          <w:sz w:val="24"/>
          <w:highlight w:val="none"/>
        </w:rPr>
        <w:t>授权代表</w:t>
      </w:r>
      <w:r>
        <w:rPr>
          <w:rFonts w:hint="eastAsia" w:ascii="仿宋" w:hAnsi="仿宋" w:eastAsia="仿宋"/>
          <w:color w:val="auto"/>
          <w:sz w:val="24"/>
          <w:highlight w:val="none"/>
        </w:rPr>
        <w:t>签字确认；供应商为其他组织的，应当由其主要负责人或者</w:t>
      </w:r>
      <w:r>
        <w:rPr>
          <w:rFonts w:hint="eastAsia" w:ascii="仿宋" w:hAnsi="仿宋" w:eastAsia="仿宋"/>
          <w:bCs/>
          <w:color w:val="auto"/>
          <w:sz w:val="24"/>
          <w:highlight w:val="none"/>
        </w:rPr>
        <w:t>授权代表</w:t>
      </w:r>
      <w:r>
        <w:rPr>
          <w:rFonts w:hint="eastAsia" w:ascii="仿宋" w:hAnsi="仿宋" w:eastAsia="仿宋"/>
          <w:color w:val="auto"/>
          <w:sz w:val="24"/>
          <w:highlight w:val="none"/>
        </w:rPr>
        <w:t>签字确认；供应商为自然人的，应当由其本人或者</w:t>
      </w:r>
      <w:r>
        <w:rPr>
          <w:rFonts w:hint="eastAsia" w:ascii="仿宋" w:hAnsi="仿宋" w:eastAsia="仿宋"/>
          <w:bCs/>
          <w:color w:val="auto"/>
          <w:sz w:val="24"/>
          <w:highlight w:val="none"/>
        </w:rPr>
        <w:t>授权代表</w:t>
      </w:r>
      <w:r>
        <w:rPr>
          <w:rFonts w:hint="eastAsia" w:ascii="仿宋" w:hAnsi="仿宋" w:eastAsia="仿宋"/>
          <w:color w:val="auto"/>
          <w:sz w:val="24"/>
          <w:highlight w:val="none"/>
        </w:rPr>
        <w:t>签字确认</w:t>
      </w:r>
      <w:r>
        <w:rPr>
          <w:rFonts w:hint="eastAsia" w:ascii="仿宋" w:hAnsi="仿宋" w:eastAsia="仿宋"/>
          <w:bCs/>
          <w:color w:val="auto"/>
          <w:sz w:val="24"/>
          <w:highlight w:val="none"/>
        </w:rPr>
        <w:t>）或加盖私人印章</w:t>
      </w:r>
      <w:r>
        <w:rPr>
          <w:rFonts w:hint="eastAsia" w:ascii="仿宋" w:hAnsi="仿宋" w:eastAsia="仿宋"/>
          <w:color w:val="auto"/>
          <w:sz w:val="24"/>
          <w:highlight w:val="none"/>
        </w:rPr>
        <w:t>，要求加盖公章的地方加盖单位公章，不得使用专用章（如经济合同章、投标专用章等）或下属单位印章代替。</w:t>
      </w:r>
    </w:p>
    <w:p w14:paraId="34C93519">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18.6响应文件正本和副本需要逐页编目编码。</w:t>
      </w:r>
    </w:p>
    <w:p w14:paraId="3C545409">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18.7响应文件正本和副本应当采用胶装方式装订成册，不得散装或者合页装订。</w:t>
      </w:r>
    </w:p>
    <w:p w14:paraId="14089581">
      <w:pPr>
        <w:tabs>
          <w:tab w:val="left" w:pos="1080"/>
        </w:tabs>
        <w:spacing w:line="400" w:lineRule="exact"/>
        <w:ind w:firstLine="460" w:firstLineChars="192"/>
        <w:rPr>
          <w:rFonts w:ascii="仿宋" w:hAnsi="仿宋" w:eastAsia="仿宋"/>
          <w:color w:val="auto"/>
          <w:sz w:val="24"/>
          <w:highlight w:val="none"/>
        </w:rPr>
      </w:pPr>
      <w:r>
        <w:rPr>
          <w:rFonts w:hint="eastAsia" w:ascii="仿宋" w:hAnsi="仿宋" w:eastAsia="仿宋"/>
          <w:color w:val="auto"/>
          <w:sz w:val="24"/>
          <w:highlight w:val="none"/>
        </w:rPr>
        <w:t>18.8</w:t>
      </w:r>
      <w:r>
        <w:rPr>
          <w:rFonts w:hint="eastAsia" w:ascii="仿宋" w:hAnsi="仿宋" w:eastAsia="仿宋"/>
          <w:b/>
          <w:color w:val="auto"/>
          <w:sz w:val="24"/>
          <w:highlight w:val="none"/>
        </w:rPr>
        <w:t>（实质性要求）</w:t>
      </w:r>
      <w:r>
        <w:rPr>
          <w:rFonts w:hint="eastAsia" w:ascii="仿宋" w:hAnsi="仿宋" w:eastAsia="仿宋"/>
          <w:color w:val="auto"/>
          <w:sz w:val="24"/>
          <w:highlight w:val="none"/>
        </w:rPr>
        <w:t>响应文件应根据谈判文件的要求签署、盖章（第八章</w:t>
      </w:r>
      <w:r>
        <w:rPr>
          <w:rFonts w:ascii="仿宋" w:hAnsi="仿宋" w:eastAsia="仿宋"/>
          <w:color w:val="auto"/>
          <w:sz w:val="24"/>
          <w:highlight w:val="none"/>
        </w:rPr>
        <w:t>2.4.6</w:t>
      </w:r>
      <w:r>
        <w:rPr>
          <w:rFonts w:hint="eastAsia" w:ascii="仿宋" w:hAnsi="仿宋" w:eastAsia="仿宋"/>
          <w:color w:val="auto"/>
          <w:sz w:val="24"/>
          <w:highlight w:val="none"/>
        </w:rPr>
        <w:t>规定</w:t>
      </w:r>
      <w:r>
        <w:rPr>
          <w:rFonts w:ascii="仿宋" w:hAnsi="仿宋" w:eastAsia="仿宋"/>
          <w:color w:val="auto"/>
          <w:sz w:val="24"/>
          <w:highlight w:val="none"/>
        </w:rPr>
        <w:t>的</w:t>
      </w:r>
      <w:r>
        <w:rPr>
          <w:rFonts w:hint="eastAsia" w:ascii="仿宋" w:hAnsi="仿宋" w:eastAsia="仿宋"/>
          <w:color w:val="auto"/>
          <w:sz w:val="24"/>
          <w:highlight w:val="none"/>
        </w:rPr>
        <w:t>例外</w:t>
      </w:r>
      <w:r>
        <w:rPr>
          <w:rFonts w:ascii="仿宋" w:hAnsi="仿宋" w:eastAsia="仿宋"/>
          <w:color w:val="auto"/>
          <w:sz w:val="24"/>
          <w:highlight w:val="none"/>
        </w:rPr>
        <w:t>情形除外</w:t>
      </w:r>
      <w:r>
        <w:rPr>
          <w:rFonts w:hint="eastAsia" w:ascii="仿宋" w:hAnsi="仿宋" w:eastAsia="仿宋"/>
          <w:color w:val="auto"/>
          <w:sz w:val="24"/>
          <w:highlight w:val="none"/>
        </w:rPr>
        <w:t>）。</w:t>
      </w:r>
    </w:p>
    <w:p w14:paraId="298E5503">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18.9响应文件统一用</w:t>
      </w:r>
      <w:r>
        <w:rPr>
          <w:rFonts w:ascii="仿宋" w:hAnsi="仿宋" w:eastAsia="仿宋"/>
          <w:color w:val="auto"/>
          <w:sz w:val="24"/>
          <w:highlight w:val="none"/>
        </w:rPr>
        <w:t>A4</w:t>
      </w:r>
      <w:r>
        <w:rPr>
          <w:rFonts w:hint="eastAsia" w:ascii="仿宋" w:hAnsi="仿宋" w:eastAsia="仿宋"/>
          <w:color w:val="auto"/>
          <w:sz w:val="24"/>
          <w:highlight w:val="none"/>
        </w:rPr>
        <w:t>幅面纸印制，除另有规定外。</w:t>
      </w:r>
    </w:p>
    <w:p w14:paraId="50AD7299">
      <w:pPr>
        <w:tabs>
          <w:tab w:val="left" w:pos="1080"/>
        </w:tabs>
        <w:spacing w:line="360" w:lineRule="auto"/>
        <w:ind w:firstLine="463" w:firstLineChars="192"/>
        <w:outlineLvl w:val="2"/>
        <w:rPr>
          <w:rFonts w:ascii="仿宋" w:hAnsi="仿宋" w:eastAsia="仿宋"/>
          <w:b/>
          <w:color w:val="auto"/>
          <w:sz w:val="24"/>
          <w:highlight w:val="none"/>
        </w:rPr>
      </w:pPr>
      <w:bookmarkStart w:id="63" w:name="_Toc77400781"/>
      <w:bookmarkStart w:id="64" w:name="_Toc183682363"/>
      <w:bookmarkStart w:id="65" w:name="_Toc89075877"/>
      <w:bookmarkStart w:id="66" w:name="_Toc183582226"/>
      <w:bookmarkStart w:id="67" w:name="_Toc217446053"/>
      <w:r>
        <w:rPr>
          <w:rFonts w:hint="eastAsia" w:ascii="仿宋" w:hAnsi="仿宋" w:eastAsia="仿宋"/>
          <w:b/>
          <w:color w:val="auto"/>
          <w:sz w:val="24"/>
          <w:highlight w:val="none"/>
        </w:rPr>
        <w:t>19.响应文件的密封和标注（不属于本项目谈判小组评审范畴，由采购人、采购代理机构在接收响应文件时及时处理）</w:t>
      </w:r>
    </w:p>
    <w:p w14:paraId="566D21A4">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19.1响应文件可以单独密封包装，也可以所有响应文件密封包装在一个密封袋内。</w:t>
      </w:r>
    </w:p>
    <w:p w14:paraId="5C9E20CA">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19.2响应文件密封袋的最外层应清楚地标明采购项目名称、采购项目编号、包件号及名称（若有）、供应商名称。</w:t>
      </w:r>
    </w:p>
    <w:p w14:paraId="631FF34A">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19.3所有外层密封袋的封口处应粘贴牢固。</w:t>
      </w:r>
    </w:p>
    <w:p w14:paraId="01E3E386">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19.4未密封的响应文件，采购人、采购代理机构将拒收或者在时间允许的范围内，要求供应商密封完善后接收。</w:t>
      </w:r>
    </w:p>
    <w:p w14:paraId="7B35EB3D">
      <w:pPr>
        <w:tabs>
          <w:tab w:val="left" w:pos="1080"/>
        </w:tabs>
        <w:spacing w:line="360" w:lineRule="auto"/>
        <w:ind w:firstLine="463" w:firstLineChars="192"/>
        <w:outlineLvl w:val="2"/>
        <w:rPr>
          <w:rFonts w:ascii="仿宋" w:hAnsi="仿宋" w:eastAsia="仿宋"/>
          <w:b/>
          <w:color w:val="auto"/>
          <w:sz w:val="24"/>
          <w:highlight w:val="none"/>
        </w:rPr>
      </w:pPr>
      <w:r>
        <w:rPr>
          <w:rFonts w:hint="eastAsia" w:ascii="仿宋" w:hAnsi="仿宋" w:eastAsia="仿宋"/>
          <w:b/>
          <w:color w:val="auto"/>
          <w:sz w:val="24"/>
          <w:highlight w:val="none"/>
        </w:rPr>
        <w:t>20.响应文件的递交</w:t>
      </w:r>
    </w:p>
    <w:p w14:paraId="7FDE73B3">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20.1资格性响应文件和其他响应文件应于递交响应文件截止时间前送达指定地点，采购代理机构拒绝接收截止时间后送达的响应文件。供应商在递交响应文件时，用正楷填写本谈判须知附件“递交响应文件签收表”然后将签收表和响应文件一并递交给采购代理机构工作人员。</w:t>
      </w:r>
    </w:p>
    <w:p w14:paraId="08CAB6D8">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20.2采购代理机构将向通过资格审查的供应商发出谈判邀请；告知未通过资格审查的供应商未通过的原因。</w:t>
      </w:r>
    </w:p>
    <w:p w14:paraId="7BC9EE59">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20.3报价表在谈判后，谈判小组要求供应商进行最后报价时递交。</w:t>
      </w:r>
    </w:p>
    <w:p w14:paraId="5A7C1060">
      <w:pPr>
        <w:tabs>
          <w:tab w:val="left" w:pos="1080"/>
        </w:tabs>
        <w:spacing w:line="360" w:lineRule="auto"/>
        <w:ind w:firstLine="460" w:firstLineChars="192"/>
        <w:rPr>
          <w:rFonts w:ascii="仿宋" w:hAnsi="仿宋" w:eastAsia="仿宋"/>
          <w:color w:val="auto"/>
          <w:sz w:val="24"/>
          <w:highlight w:val="none"/>
        </w:rPr>
      </w:pPr>
      <w:r>
        <w:rPr>
          <w:rFonts w:hint="eastAsia" w:ascii="仿宋" w:hAnsi="仿宋" w:eastAsia="仿宋"/>
          <w:color w:val="auto"/>
          <w:sz w:val="24"/>
          <w:highlight w:val="none"/>
        </w:rPr>
        <w:t>20.4本次采购不接收邮寄的响应文件。</w:t>
      </w:r>
    </w:p>
    <w:bookmarkEnd w:id="63"/>
    <w:bookmarkEnd w:id="64"/>
    <w:bookmarkEnd w:id="65"/>
    <w:bookmarkEnd w:id="66"/>
    <w:bookmarkEnd w:id="67"/>
    <w:p w14:paraId="5EACF7D6">
      <w:pPr>
        <w:tabs>
          <w:tab w:val="left" w:pos="1080"/>
        </w:tabs>
        <w:spacing w:line="360" w:lineRule="auto"/>
        <w:ind w:firstLine="463" w:firstLineChars="192"/>
        <w:outlineLvl w:val="2"/>
        <w:rPr>
          <w:rFonts w:ascii="仿宋" w:hAnsi="仿宋" w:eastAsia="仿宋"/>
          <w:b/>
          <w:color w:val="auto"/>
          <w:sz w:val="24"/>
          <w:highlight w:val="none"/>
        </w:rPr>
      </w:pPr>
      <w:bookmarkStart w:id="68" w:name="_Toc183582228"/>
      <w:bookmarkStart w:id="69" w:name="_Toc183682365"/>
      <w:bookmarkStart w:id="70" w:name="_Toc217446055"/>
      <w:r>
        <w:rPr>
          <w:rFonts w:hint="eastAsia" w:ascii="仿宋" w:hAnsi="仿宋" w:eastAsia="仿宋"/>
          <w:b/>
          <w:color w:val="auto"/>
          <w:sz w:val="24"/>
          <w:highlight w:val="none"/>
        </w:rPr>
        <w:t>21.响应文件的修改和撤回（补充、修改响应文件的密封和标注按照本章“19.响应文件的密封和标注”规定处理）</w:t>
      </w:r>
    </w:p>
    <w:p w14:paraId="530BF3BA">
      <w:pPr>
        <w:pStyle w:val="13"/>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w:t>
      </w:r>
      <w:r>
        <w:rPr>
          <w:rFonts w:hint="eastAsia" w:ascii="仿宋" w:hAnsi="仿宋" w:eastAsia="仿宋"/>
          <w:color w:val="auto"/>
          <w:sz w:val="24"/>
          <w:highlight w:val="none"/>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17F3ADD">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w:t>
      </w:r>
      <w:r>
        <w:rPr>
          <w:rFonts w:hint="eastAsia" w:ascii="仿宋" w:hAnsi="仿宋" w:eastAsia="仿宋"/>
          <w:color w:val="auto"/>
          <w:sz w:val="24"/>
          <w:highlight w:val="none"/>
        </w:rPr>
        <w:t>2供应商对响应文件修改的书面材料或撤回的通知应该按规定进行编写、密封、标注和递送，并注明“修改响应文件”字样。</w:t>
      </w:r>
    </w:p>
    <w:p w14:paraId="2C2C8260">
      <w:pPr>
        <w:adjustRightInd w:val="0"/>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w:t>
      </w:r>
      <w:r>
        <w:rPr>
          <w:rFonts w:ascii="仿宋" w:hAnsi="仿宋" w:eastAsia="仿宋"/>
          <w:color w:val="auto"/>
          <w:sz w:val="24"/>
          <w:highlight w:val="none"/>
        </w:rPr>
        <w:t>.</w:t>
      </w:r>
      <w:r>
        <w:rPr>
          <w:rFonts w:hint="eastAsia" w:ascii="仿宋" w:hAnsi="仿宋" w:eastAsia="仿宋"/>
          <w:color w:val="auto"/>
          <w:sz w:val="24"/>
          <w:highlight w:val="none"/>
        </w:rPr>
        <w:t>3供应商不得在递交截止时间起至响应文件有效期期满前撤销其响应文件。</w:t>
      </w:r>
    </w:p>
    <w:p w14:paraId="7163E1EE">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21.4供应商对其提交的响应文件的真实性、合法性承担法律责任。</w:t>
      </w:r>
      <w:bookmarkEnd w:id="68"/>
      <w:bookmarkEnd w:id="69"/>
      <w:bookmarkEnd w:id="70"/>
    </w:p>
    <w:p w14:paraId="7DBCB387">
      <w:pPr>
        <w:pStyle w:val="4"/>
        <w:keepNext w:val="0"/>
        <w:keepLines w:val="0"/>
        <w:spacing w:before="0" w:after="0" w:line="360" w:lineRule="auto"/>
        <w:jc w:val="center"/>
        <w:rPr>
          <w:rFonts w:ascii="仿宋" w:hAnsi="仿宋" w:eastAsia="仿宋"/>
          <w:color w:val="auto"/>
          <w:highlight w:val="none"/>
        </w:rPr>
      </w:pPr>
      <w:r>
        <w:rPr>
          <w:rFonts w:hint="eastAsia" w:ascii="仿宋" w:hAnsi="仿宋" w:eastAsia="仿宋"/>
          <w:color w:val="auto"/>
          <w:highlight w:val="none"/>
        </w:rPr>
        <w:t>五、评审</w:t>
      </w:r>
    </w:p>
    <w:p w14:paraId="5A048ECF">
      <w:pPr>
        <w:pStyle w:val="5"/>
        <w:ind w:firstLine="482" w:firstLineChars="200"/>
        <w:rPr>
          <w:rFonts w:ascii="仿宋" w:hAnsi="仿宋" w:eastAsia="仿宋"/>
          <w:color w:val="auto"/>
          <w:highlight w:val="none"/>
        </w:rPr>
      </w:pPr>
      <w:r>
        <w:rPr>
          <w:rFonts w:hint="eastAsia" w:ascii="仿宋" w:hAnsi="仿宋" w:eastAsia="仿宋"/>
          <w:color w:val="auto"/>
          <w:sz w:val="24"/>
          <w:szCs w:val="24"/>
          <w:highlight w:val="none"/>
        </w:rPr>
        <w:t>22.</w:t>
      </w:r>
      <w:r>
        <w:rPr>
          <w:rFonts w:hint="eastAsia" w:ascii="仿宋" w:hAnsi="仿宋" w:eastAsia="仿宋"/>
          <w:b w:val="0"/>
          <w:color w:val="auto"/>
          <w:sz w:val="24"/>
          <w:szCs w:val="24"/>
          <w:highlight w:val="none"/>
        </w:rPr>
        <w:t>谈判小组的组建及其评审工作按照有关法律制度和本文件第八章的规定进行。</w:t>
      </w:r>
    </w:p>
    <w:p w14:paraId="614E90F4">
      <w:pPr>
        <w:pStyle w:val="4"/>
        <w:keepNext w:val="0"/>
        <w:keepLines w:val="0"/>
        <w:spacing w:before="0" w:after="0" w:line="360" w:lineRule="auto"/>
        <w:jc w:val="center"/>
        <w:rPr>
          <w:rFonts w:ascii="仿宋" w:hAnsi="仿宋" w:eastAsia="仿宋"/>
          <w:color w:val="auto"/>
          <w:highlight w:val="none"/>
        </w:rPr>
      </w:pPr>
      <w:r>
        <w:rPr>
          <w:rFonts w:hint="eastAsia" w:ascii="仿宋" w:hAnsi="仿宋" w:eastAsia="仿宋"/>
          <w:color w:val="auto"/>
          <w:highlight w:val="none"/>
        </w:rPr>
        <w:t>六、成交事项</w:t>
      </w:r>
    </w:p>
    <w:p w14:paraId="635C1EEC">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23.确定成交供应商</w:t>
      </w:r>
    </w:p>
    <w:p w14:paraId="03113E85">
      <w:pPr>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本项目采用方式 一 确定成交供应商。</w:t>
      </w:r>
    </w:p>
    <w:p w14:paraId="4530B09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方式一：采购人将按谈判小组</w:t>
      </w:r>
      <w:r>
        <w:rPr>
          <w:rFonts w:hint="eastAsia" w:ascii="仿宋" w:hAnsi="仿宋" w:eastAsia="仿宋"/>
          <w:bCs/>
          <w:color w:val="auto"/>
          <w:sz w:val="24"/>
          <w:highlight w:val="none"/>
        </w:rPr>
        <w:t>推荐</w:t>
      </w:r>
      <w:r>
        <w:rPr>
          <w:rFonts w:hint="eastAsia" w:ascii="仿宋" w:hAnsi="仿宋" w:eastAsia="仿宋"/>
          <w:color w:val="auto"/>
          <w:sz w:val="24"/>
          <w:highlight w:val="none"/>
        </w:rPr>
        <w:t>的成交候选供应商顺序确定成交供应商。</w:t>
      </w:r>
    </w:p>
    <w:p w14:paraId="4EA7F373">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方式二：采购人授权谈判小组根据供应商最后报价排名直接确定成交供应商。</w:t>
      </w:r>
    </w:p>
    <w:p w14:paraId="11FB11D3">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23.1采购代理机构自评审结束后2个工作日内将谈判报告及有关资料送交采购人确定成交供应商。</w:t>
      </w:r>
    </w:p>
    <w:p w14:paraId="25CA11CC">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23.2采购人收到谈判报告及有关资料后，将按照谈判报告中推荐的成交候选供应商顺序确定成交供应商。成交候选供应商并列的，在评审现场采用随机抽签的方式</w:t>
      </w:r>
      <w:r>
        <w:rPr>
          <w:rFonts w:hint="eastAsia" w:ascii="仿宋" w:hAnsi="仿宋" w:eastAsia="仿宋"/>
          <w:bCs/>
          <w:color w:val="auto"/>
          <w:sz w:val="24"/>
          <w:highlight w:val="none"/>
          <w:lang w:val="en-US" w:eastAsia="zh-CN"/>
        </w:rPr>
        <w:t>推荐成交候选</w:t>
      </w:r>
      <w:r>
        <w:rPr>
          <w:rFonts w:hint="eastAsia" w:ascii="仿宋" w:hAnsi="仿宋" w:eastAsia="仿宋"/>
          <w:bCs/>
          <w:color w:val="auto"/>
          <w:sz w:val="24"/>
          <w:highlight w:val="none"/>
        </w:rPr>
        <w:t>供应商。采购人逾期未确定成交供应商且不提出异议的，视为确定谈判报告提出的排序第一的供应商为成交供应商。</w:t>
      </w:r>
    </w:p>
    <w:p w14:paraId="18CA4D55">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4</w:t>
      </w:r>
      <w:r>
        <w:rPr>
          <w:rFonts w:hint="eastAsia" w:ascii="仿宋" w:hAnsi="仿宋" w:eastAsia="仿宋"/>
          <w:b/>
          <w:color w:val="auto"/>
          <w:sz w:val="24"/>
          <w:highlight w:val="none"/>
        </w:rPr>
        <w:t>.成交结果</w:t>
      </w:r>
    </w:p>
    <w:p w14:paraId="37B77434">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w:t>
      </w:r>
      <w:r>
        <w:rPr>
          <w:rFonts w:ascii="仿宋" w:hAnsi="仿宋" w:eastAsia="仿宋"/>
          <w:bCs/>
          <w:color w:val="auto"/>
          <w:sz w:val="24"/>
          <w:highlight w:val="none"/>
        </w:rPr>
        <w:t>4</w:t>
      </w:r>
      <w:r>
        <w:rPr>
          <w:rFonts w:hint="eastAsia" w:ascii="仿宋" w:hAnsi="仿宋" w:eastAsia="仿宋"/>
          <w:bCs/>
          <w:color w:val="auto"/>
          <w:sz w:val="24"/>
          <w:highlight w:val="none"/>
        </w:rPr>
        <w:t>.1采购人确定成交供应商后，将及时书面通知采购代理机构，发出成交通知书并发布成交结果公告。</w:t>
      </w:r>
    </w:p>
    <w:p w14:paraId="51ADB8BB">
      <w:pPr>
        <w:spacing w:line="360" w:lineRule="auto"/>
        <w:ind w:firstLine="465"/>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4</w:t>
      </w:r>
      <w:r>
        <w:rPr>
          <w:rFonts w:hint="eastAsia" w:ascii="仿宋" w:hAnsi="仿宋" w:eastAsia="仿宋"/>
          <w:color w:val="auto"/>
          <w:sz w:val="24"/>
          <w:highlight w:val="none"/>
        </w:rPr>
        <w:t>.2成交供应商应当及时领取成交通知书。</w:t>
      </w:r>
    </w:p>
    <w:p w14:paraId="6DFE1CBF">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5</w:t>
      </w:r>
      <w:r>
        <w:rPr>
          <w:rFonts w:hint="eastAsia" w:ascii="仿宋" w:hAnsi="仿宋" w:eastAsia="仿宋"/>
          <w:b/>
          <w:color w:val="auto"/>
          <w:sz w:val="24"/>
          <w:highlight w:val="none"/>
        </w:rPr>
        <w:t>.成交通知书</w:t>
      </w:r>
    </w:p>
    <w:p w14:paraId="0B8F4087">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w:t>
      </w:r>
      <w:r>
        <w:rPr>
          <w:rFonts w:ascii="仿宋" w:hAnsi="仿宋" w:eastAsia="仿宋"/>
          <w:bCs/>
          <w:color w:val="auto"/>
          <w:sz w:val="24"/>
          <w:highlight w:val="none"/>
        </w:rPr>
        <w:t>5</w:t>
      </w:r>
      <w:r>
        <w:rPr>
          <w:rFonts w:hint="eastAsia" w:ascii="仿宋" w:hAnsi="仿宋" w:eastAsia="仿宋"/>
          <w:bCs/>
          <w:color w:val="auto"/>
          <w:sz w:val="24"/>
          <w:highlight w:val="none"/>
        </w:rPr>
        <w:t>.1成交通知书为签订采购合同的依据之一，是合同的有效组成部分。</w:t>
      </w:r>
    </w:p>
    <w:p w14:paraId="23DDF076">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w:t>
      </w:r>
      <w:r>
        <w:rPr>
          <w:rFonts w:ascii="仿宋" w:hAnsi="仿宋" w:eastAsia="仿宋"/>
          <w:bCs/>
          <w:color w:val="auto"/>
          <w:sz w:val="24"/>
          <w:highlight w:val="none"/>
        </w:rPr>
        <w:t>5</w:t>
      </w:r>
      <w:r>
        <w:rPr>
          <w:rFonts w:hint="eastAsia" w:ascii="仿宋" w:hAnsi="仿宋" w:eastAsia="仿宋"/>
          <w:bCs/>
          <w:color w:val="auto"/>
          <w:sz w:val="24"/>
          <w:highlight w:val="none"/>
        </w:rPr>
        <w:t>.2成交通知书对采购人和成交供应商均具有法律效力。成交通知书发出后，采购人无正当理由改变成交结果，或者成交供应商无正当理由放弃成交的，将承担相应的法律责任。</w:t>
      </w:r>
    </w:p>
    <w:p w14:paraId="2C589112">
      <w:pPr>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2</w:t>
      </w:r>
      <w:r>
        <w:rPr>
          <w:rFonts w:ascii="仿宋" w:hAnsi="仿宋" w:eastAsia="仿宋"/>
          <w:bCs/>
          <w:color w:val="auto"/>
          <w:sz w:val="24"/>
          <w:highlight w:val="none"/>
        </w:rPr>
        <w:t>5</w:t>
      </w:r>
      <w:r>
        <w:rPr>
          <w:rFonts w:hint="eastAsia" w:ascii="仿宋" w:hAnsi="仿宋" w:eastAsia="仿宋"/>
          <w:bCs/>
          <w:color w:val="auto"/>
          <w:sz w:val="24"/>
          <w:highlight w:val="none"/>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719A1D90">
      <w:pPr>
        <w:pStyle w:val="4"/>
        <w:keepNext w:val="0"/>
        <w:keepLines w:val="0"/>
        <w:spacing w:before="0" w:after="0" w:line="360" w:lineRule="auto"/>
        <w:jc w:val="center"/>
        <w:rPr>
          <w:rFonts w:ascii="仿宋" w:hAnsi="仿宋" w:eastAsia="仿宋"/>
          <w:color w:val="auto"/>
          <w:highlight w:val="none"/>
        </w:rPr>
      </w:pPr>
      <w:r>
        <w:rPr>
          <w:rFonts w:hint="eastAsia" w:ascii="仿宋" w:hAnsi="仿宋" w:eastAsia="仿宋"/>
          <w:color w:val="auto"/>
          <w:highlight w:val="none"/>
        </w:rPr>
        <w:t>七、合同事项</w:t>
      </w:r>
      <w:bookmarkStart w:id="71" w:name="_Toc101250646"/>
      <w:bookmarkStart w:id="72" w:name="_Toc209847069"/>
      <w:bookmarkStart w:id="73" w:name="_Toc101174151"/>
      <w:bookmarkStart w:id="74" w:name="_Toc101338364"/>
      <w:bookmarkStart w:id="75" w:name="_Toc430773927"/>
    </w:p>
    <w:p w14:paraId="0C1917FB">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6</w:t>
      </w:r>
      <w:r>
        <w:rPr>
          <w:rFonts w:hint="eastAsia" w:ascii="仿宋" w:hAnsi="仿宋" w:eastAsia="仿宋"/>
          <w:b/>
          <w:color w:val="auto"/>
          <w:sz w:val="24"/>
          <w:highlight w:val="none"/>
        </w:rPr>
        <w:t>.签订合同</w:t>
      </w:r>
      <w:bookmarkEnd w:id="71"/>
      <w:bookmarkEnd w:id="72"/>
      <w:bookmarkEnd w:id="73"/>
      <w:bookmarkEnd w:id="74"/>
      <w:bookmarkEnd w:id="75"/>
    </w:p>
    <w:p w14:paraId="6B233DD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.1成交供应商应在成交通知书发出之日起三十日内与采购人签订采购合同。由于成交供应商的原因逾期未与采购人签订采购合同的，将视为放弃成交，取消其成交资格并将按相关规定进行处理。</w:t>
      </w:r>
    </w:p>
    <w:p w14:paraId="75B03DF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.2谈判文件、成交供应商的响应文件及双方确认的澄清文件等，均为有法律约束力的经济合同的组成部分。</w:t>
      </w:r>
    </w:p>
    <w:p w14:paraId="7A74D60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.3采购人不得向成交供应商提出任何不合理的要求，作为签订合同的条件，不得与成交供应商私下订立背离合同实质性内容的任何协议，所签订的合同不得对谈判文件和成交供应商响应文件确定的事项进行修改。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7037CA2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.4成交供应商因不可抗力原因不能履行采购合同或放弃成交的，采购人可以与排在成交供应商之后第一位的成交候选人签订采购合同，以此类推。</w:t>
      </w:r>
    </w:p>
    <w:p w14:paraId="41F6EBC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6</w:t>
      </w:r>
      <w:r>
        <w:rPr>
          <w:rFonts w:hint="eastAsia" w:ascii="仿宋" w:hAnsi="仿宋" w:eastAsia="仿宋"/>
          <w:color w:val="auto"/>
          <w:sz w:val="24"/>
          <w:highlight w:val="none"/>
        </w:rPr>
        <w:t>.5竞争性谈判文件、成交供应商提交的响应文件、谈判中的最后报价、成交供应商承诺书、成交通知书等均称为有法律约束力的合同组成内容。</w:t>
      </w:r>
    </w:p>
    <w:p w14:paraId="5C64206F">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7</w:t>
      </w:r>
      <w:r>
        <w:rPr>
          <w:rFonts w:hint="eastAsia" w:ascii="仿宋" w:hAnsi="仿宋" w:eastAsia="仿宋"/>
          <w:b/>
          <w:color w:val="auto"/>
          <w:sz w:val="24"/>
          <w:highlight w:val="none"/>
        </w:rPr>
        <w:t>.合同分包（实质性要求）</w:t>
      </w:r>
    </w:p>
    <w:p w14:paraId="1E53D1F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本项目不接受合同分包。</w:t>
      </w:r>
    </w:p>
    <w:p w14:paraId="37B7EE39">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2</w:t>
      </w:r>
      <w:r>
        <w:rPr>
          <w:rFonts w:ascii="仿宋" w:hAnsi="仿宋" w:eastAsia="仿宋"/>
          <w:b/>
          <w:color w:val="auto"/>
          <w:sz w:val="24"/>
          <w:highlight w:val="none"/>
        </w:rPr>
        <w:t>8</w:t>
      </w:r>
      <w:r>
        <w:rPr>
          <w:rFonts w:hint="eastAsia" w:ascii="仿宋" w:hAnsi="仿宋" w:eastAsia="仿宋"/>
          <w:b/>
          <w:color w:val="auto"/>
          <w:sz w:val="24"/>
          <w:highlight w:val="none"/>
        </w:rPr>
        <w:t>.合同转包（实质性要求）</w:t>
      </w:r>
    </w:p>
    <w:p w14:paraId="5A135E5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52E6AA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成交供应商转包的，视同拒绝履行采购合同义务，将依法追究法律责任。</w:t>
      </w:r>
    </w:p>
    <w:p w14:paraId="6574A07F">
      <w:pPr>
        <w:spacing w:line="360" w:lineRule="auto"/>
        <w:ind w:firstLine="472" w:firstLineChars="196"/>
        <w:outlineLvl w:val="2"/>
        <w:rPr>
          <w:rFonts w:ascii="仿宋" w:hAnsi="仿宋" w:eastAsia="仿宋"/>
          <w:b/>
          <w:color w:val="auto"/>
          <w:sz w:val="24"/>
          <w:highlight w:val="none"/>
        </w:rPr>
      </w:pPr>
      <w:r>
        <w:rPr>
          <w:rFonts w:ascii="仿宋" w:hAnsi="仿宋" w:eastAsia="仿宋"/>
          <w:b/>
          <w:color w:val="auto"/>
          <w:sz w:val="24"/>
          <w:highlight w:val="none"/>
        </w:rPr>
        <w:t>29</w:t>
      </w:r>
      <w:r>
        <w:rPr>
          <w:rFonts w:hint="eastAsia" w:ascii="仿宋" w:hAnsi="仿宋" w:eastAsia="仿宋"/>
          <w:b/>
          <w:color w:val="auto"/>
          <w:sz w:val="24"/>
          <w:highlight w:val="none"/>
        </w:rPr>
        <w:t>.补充合同</w:t>
      </w:r>
    </w:p>
    <w:p w14:paraId="32530DF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采购合同履行过程中，采购人需要追加与合同标的相同的货物、</w:t>
      </w:r>
      <w:r>
        <w:rPr>
          <w:rFonts w:ascii="仿宋" w:hAnsi="仿宋" w:eastAsia="仿宋"/>
          <w:color w:val="auto"/>
          <w:sz w:val="24"/>
          <w:highlight w:val="none"/>
        </w:rPr>
        <w:t>工程</w:t>
      </w:r>
      <w:r>
        <w:rPr>
          <w:rFonts w:hint="eastAsia" w:ascii="仿宋" w:hAnsi="仿宋" w:eastAsia="仿宋"/>
          <w:color w:val="auto"/>
          <w:sz w:val="24"/>
          <w:highlight w:val="none"/>
        </w:rPr>
        <w:t>或者服务的，在不改变合同其他条款的前提下，可以与成交供应商协商签订补充合同，但所有补充合同的采购金额不得超过原合同采购金额的百分之十。</w:t>
      </w:r>
    </w:p>
    <w:p w14:paraId="0FEEE864">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0</w:t>
      </w:r>
      <w:r>
        <w:rPr>
          <w:rFonts w:hint="eastAsia" w:ascii="仿宋" w:hAnsi="仿宋" w:eastAsia="仿宋"/>
          <w:b/>
          <w:color w:val="auto"/>
          <w:sz w:val="24"/>
          <w:highlight w:val="none"/>
        </w:rPr>
        <w:t>.履约保证金（实质性要求）</w:t>
      </w:r>
    </w:p>
    <w:p w14:paraId="7E9E02E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30.1成交供应商应在合同签订之前交纳采购文件规定数额的履约保证金。</w:t>
      </w:r>
    </w:p>
    <w:p w14:paraId="7D2C6CD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30.2如果成交供应商在规定的合同签订时间内，没有按照采购文件的规定交纳履约保证金，且又无正当理由的，将视为放弃成交。</w:t>
      </w:r>
    </w:p>
    <w:p w14:paraId="20DAA8C5">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1</w:t>
      </w:r>
      <w:r>
        <w:rPr>
          <w:rFonts w:hint="eastAsia" w:ascii="仿宋" w:hAnsi="仿宋" w:eastAsia="仿宋"/>
          <w:b/>
          <w:color w:val="auto"/>
          <w:sz w:val="24"/>
          <w:highlight w:val="none"/>
        </w:rPr>
        <w:t>.履行合同</w:t>
      </w:r>
    </w:p>
    <w:p w14:paraId="1FD3EF7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.1成交供应商与采购人签订合同后，合同双方应严格执行合同条款，履行合同规定的义务，保证合同的顺利完成。</w:t>
      </w:r>
    </w:p>
    <w:p w14:paraId="48447F7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1</w:t>
      </w:r>
      <w:r>
        <w:rPr>
          <w:rFonts w:hint="eastAsia" w:ascii="仿宋" w:hAnsi="仿宋" w:eastAsia="仿宋"/>
          <w:color w:val="auto"/>
          <w:sz w:val="24"/>
          <w:highlight w:val="none"/>
        </w:rPr>
        <w:t>.2在合同履行过程中，如发生合同纠纷，合同双方应按照《中华人民共和国民法典》的有关规定进行处理。</w:t>
      </w:r>
    </w:p>
    <w:p w14:paraId="7D1CF97C">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2</w:t>
      </w:r>
      <w:r>
        <w:rPr>
          <w:rFonts w:hint="eastAsia" w:ascii="仿宋" w:hAnsi="仿宋" w:eastAsia="仿宋"/>
          <w:b/>
          <w:color w:val="auto"/>
          <w:sz w:val="24"/>
          <w:highlight w:val="none"/>
        </w:rPr>
        <w:t>.验收</w:t>
      </w:r>
    </w:p>
    <w:p w14:paraId="0AC5EDC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2</w:t>
      </w:r>
      <w:r>
        <w:rPr>
          <w:rFonts w:hint="eastAsia" w:ascii="仿宋" w:hAnsi="仿宋" w:eastAsia="仿宋"/>
          <w:color w:val="auto"/>
          <w:sz w:val="24"/>
          <w:highlight w:val="none"/>
        </w:rPr>
        <w:t>.1本项目采购人及其委托的采购代理机构将参照采购相关法律法规的要求进行验收。</w:t>
      </w:r>
    </w:p>
    <w:p w14:paraId="21673FA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w:t>
      </w:r>
      <w:r>
        <w:rPr>
          <w:rFonts w:ascii="仿宋" w:hAnsi="仿宋" w:eastAsia="仿宋"/>
          <w:color w:val="auto"/>
          <w:sz w:val="24"/>
          <w:highlight w:val="none"/>
        </w:rPr>
        <w:t>2</w:t>
      </w:r>
      <w:r>
        <w:rPr>
          <w:rFonts w:hint="eastAsia" w:ascii="仿宋" w:hAnsi="仿宋" w:eastAsia="仿宋"/>
          <w:color w:val="auto"/>
          <w:sz w:val="24"/>
          <w:highlight w:val="none"/>
        </w:rPr>
        <w:t>.2验收结果合格的，成交供应商凭验收报告办理相关手续；验收结果不合格的，将不予支付采购资金。</w:t>
      </w:r>
    </w:p>
    <w:p w14:paraId="7A015A74">
      <w:pPr>
        <w:pStyle w:val="4"/>
        <w:keepNext w:val="0"/>
        <w:keepLines w:val="0"/>
        <w:spacing w:before="0" w:after="0" w:line="360" w:lineRule="auto"/>
        <w:jc w:val="center"/>
        <w:rPr>
          <w:rFonts w:ascii="仿宋" w:hAnsi="仿宋" w:eastAsia="仿宋"/>
          <w:color w:val="auto"/>
          <w:highlight w:val="none"/>
        </w:rPr>
      </w:pPr>
      <w:r>
        <w:rPr>
          <w:rFonts w:hint="eastAsia" w:ascii="仿宋" w:hAnsi="仿宋" w:eastAsia="仿宋"/>
          <w:color w:val="auto"/>
          <w:highlight w:val="none"/>
        </w:rPr>
        <w:t>八、谈判纪律要求</w:t>
      </w:r>
    </w:p>
    <w:p w14:paraId="2418A6D5">
      <w:pPr>
        <w:spacing w:line="360" w:lineRule="auto"/>
        <w:ind w:firstLine="472" w:firstLineChars="196"/>
        <w:outlineLvl w:val="2"/>
        <w:rPr>
          <w:rFonts w:ascii="仿宋" w:hAnsi="仿宋" w:eastAsia="仿宋"/>
          <w:b/>
          <w:color w:val="auto"/>
          <w:sz w:val="24"/>
          <w:highlight w:val="none"/>
        </w:rPr>
      </w:pPr>
      <w:r>
        <w:rPr>
          <w:rFonts w:hint="eastAsia" w:ascii="仿宋" w:hAnsi="仿宋" w:eastAsia="仿宋"/>
          <w:b/>
          <w:color w:val="auto"/>
          <w:sz w:val="24"/>
          <w:highlight w:val="none"/>
        </w:rPr>
        <w:t>3</w:t>
      </w:r>
      <w:r>
        <w:rPr>
          <w:rFonts w:ascii="仿宋" w:hAnsi="仿宋" w:eastAsia="仿宋"/>
          <w:b/>
          <w:color w:val="auto"/>
          <w:sz w:val="24"/>
          <w:highlight w:val="none"/>
        </w:rPr>
        <w:t>3</w:t>
      </w:r>
      <w:r>
        <w:rPr>
          <w:rFonts w:hint="eastAsia" w:ascii="仿宋" w:hAnsi="仿宋" w:eastAsia="仿宋"/>
          <w:b/>
          <w:color w:val="auto"/>
          <w:sz w:val="24"/>
          <w:highlight w:val="none"/>
        </w:rPr>
        <w:t>.供应商不得具有的情形</w:t>
      </w:r>
    </w:p>
    <w:p w14:paraId="090BD668">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供应商参加本项目谈判不得有下列情形：</w:t>
      </w:r>
    </w:p>
    <w:p w14:paraId="58DAF902">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（1）提供虚假材料谋取成交；</w:t>
      </w:r>
    </w:p>
    <w:p w14:paraId="3FEF8AED">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（2）采取不正当手段诋毁、排挤其他供应商；</w:t>
      </w:r>
    </w:p>
    <w:p w14:paraId="21FB6F85">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（3）与采购人、采购代理机构、或其他供应商恶意串通；</w:t>
      </w:r>
    </w:p>
    <w:p w14:paraId="1C1CB42D">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（4）向采购人、采购代理机构、谈判小组成员行贿或者提供其他不正当利益；</w:t>
      </w:r>
    </w:p>
    <w:p w14:paraId="194AF223">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（5）在谈判过程中与采购人、采购代理机构进行协商；</w:t>
      </w:r>
    </w:p>
    <w:p w14:paraId="7BDE7647">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（6）成交后无正当理由拒不与采购人签订采购合同；</w:t>
      </w:r>
    </w:p>
    <w:p w14:paraId="249DACE6">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（7）未按照谈判文件确定的事项签订采购合同；</w:t>
      </w:r>
    </w:p>
    <w:p w14:paraId="190F98C8">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（8）将采购合同转包或者违规分包；</w:t>
      </w:r>
    </w:p>
    <w:p w14:paraId="10F72349">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（9）提供假冒伪劣产品；</w:t>
      </w:r>
    </w:p>
    <w:p w14:paraId="3305DF0F">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（10）擅自变更、中止或者终止采购合同；</w:t>
      </w:r>
    </w:p>
    <w:p w14:paraId="676BD535">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（11）拒绝有关部门的监督检查或者向监督检查部门提供虚假情况；</w:t>
      </w:r>
    </w:p>
    <w:p w14:paraId="3860AB61">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（12）法律法规规定的其他情形。</w:t>
      </w:r>
    </w:p>
    <w:p w14:paraId="7DAAE2F5">
      <w:pPr>
        <w:tabs>
          <w:tab w:val="left" w:pos="851"/>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供应商有上述情形的，按照规定追究法律责任。</w:t>
      </w:r>
    </w:p>
    <w:p w14:paraId="26ED60E5">
      <w:pPr>
        <w:tabs>
          <w:tab w:val="left" w:pos="851"/>
        </w:tabs>
        <w:spacing w:line="360" w:lineRule="auto"/>
        <w:jc w:val="center"/>
        <w:outlineLvl w:val="1"/>
        <w:rPr>
          <w:rFonts w:ascii="仿宋" w:hAnsi="仿宋" w:eastAsia="仿宋"/>
          <w:b/>
          <w:color w:val="auto"/>
          <w:sz w:val="32"/>
          <w:szCs w:val="32"/>
          <w:highlight w:val="none"/>
        </w:rPr>
      </w:pPr>
      <w:r>
        <w:rPr>
          <w:rFonts w:hint="eastAsia" w:ascii="仿宋" w:hAnsi="仿宋" w:eastAsia="仿宋"/>
          <w:b/>
          <w:color w:val="auto"/>
          <w:sz w:val="32"/>
          <w:szCs w:val="32"/>
          <w:highlight w:val="none"/>
        </w:rPr>
        <w:t>九、其  他</w:t>
      </w:r>
    </w:p>
    <w:p w14:paraId="591EDB27">
      <w:pPr>
        <w:spacing w:line="360" w:lineRule="auto"/>
        <w:ind w:firstLine="470" w:firstLineChars="196"/>
        <w:outlineLvl w:val="2"/>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4.</w:t>
      </w:r>
      <w:r>
        <w:rPr>
          <w:rFonts w:hint="eastAsia" w:ascii="仿宋" w:hAnsi="仿宋" w:eastAsia="仿宋"/>
          <w:b/>
          <w:color w:val="auto"/>
          <w:sz w:val="24"/>
          <w:highlight w:val="none"/>
        </w:rPr>
        <w:t>（实质性要求）</w:t>
      </w:r>
      <w:r>
        <w:rPr>
          <w:rFonts w:ascii="仿宋" w:hAnsi="仿宋" w:eastAsia="仿宋"/>
          <w:color w:val="auto"/>
          <w:sz w:val="24"/>
          <w:highlight w:val="none"/>
        </w:rPr>
        <w:t>国家</w:t>
      </w:r>
      <w:r>
        <w:rPr>
          <w:rFonts w:hint="eastAsia" w:ascii="仿宋" w:hAnsi="仿宋" w:eastAsia="仿宋"/>
          <w:color w:val="auto"/>
          <w:sz w:val="24"/>
          <w:highlight w:val="none"/>
        </w:rPr>
        <w:t>或行业主管部门</w:t>
      </w:r>
      <w:r>
        <w:rPr>
          <w:rFonts w:ascii="仿宋" w:hAnsi="仿宋" w:eastAsia="仿宋"/>
          <w:color w:val="auto"/>
          <w:sz w:val="24"/>
          <w:highlight w:val="none"/>
        </w:rPr>
        <w:t>对</w:t>
      </w:r>
      <w:r>
        <w:rPr>
          <w:rFonts w:hint="eastAsia" w:ascii="仿宋" w:hAnsi="仿宋" w:eastAsia="仿宋"/>
          <w:color w:val="auto"/>
          <w:sz w:val="24"/>
          <w:highlight w:val="none"/>
        </w:rPr>
        <w:t>采购产品的</w:t>
      </w:r>
      <w:r>
        <w:rPr>
          <w:rFonts w:ascii="仿宋" w:hAnsi="仿宋" w:eastAsia="仿宋"/>
          <w:color w:val="auto"/>
          <w:sz w:val="24"/>
          <w:highlight w:val="none"/>
        </w:rPr>
        <w:t>技术</w:t>
      </w:r>
      <w:r>
        <w:rPr>
          <w:rFonts w:hint="eastAsia" w:ascii="仿宋" w:hAnsi="仿宋" w:eastAsia="仿宋"/>
          <w:color w:val="auto"/>
          <w:sz w:val="24"/>
          <w:highlight w:val="none"/>
        </w:rPr>
        <w:t>标准、</w:t>
      </w:r>
      <w:r>
        <w:rPr>
          <w:rFonts w:ascii="仿宋" w:hAnsi="仿宋" w:eastAsia="仿宋"/>
          <w:color w:val="auto"/>
          <w:sz w:val="24"/>
          <w:highlight w:val="none"/>
        </w:rPr>
        <w:t>质量</w:t>
      </w:r>
      <w:r>
        <w:rPr>
          <w:rFonts w:hint="eastAsia" w:ascii="仿宋" w:hAnsi="仿宋" w:eastAsia="仿宋"/>
          <w:color w:val="auto"/>
          <w:sz w:val="24"/>
          <w:highlight w:val="none"/>
        </w:rPr>
        <w:t>标准和资格资质条件</w:t>
      </w:r>
      <w:r>
        <w:rPr>
          <w:rFonts w:ascii="仿宋" w:hAnsi="仿宋" w:eastAsia="仿宋"/>
          <w:color w:val="auto"/>
          <w:sz w:val="24"/>
          <w:highlight w:val="none"/>
        </w:rPr>
        <w:t>等有</w:t>
      </w:r>
      <w:r>
        <w:rPr>
          <w:rFonts w:hint="eastAsia" w:ascii="仿宋" w:hAnsi="仿宋" w:eastAsia="仿宋"/>
          <w:color w:val="auto"/>
          <w:sz w:val="24"/>
          <w:highlight w:val="none"/>
        </w:rPr>
        <w:t>强制性规定</w:t>
      </w:r>
      <w:r>
        <w:rPr>
          <w:rFonts w:ascii="仿宋" w:hAnsi="仿宋" w:eastAsia="仿宋"/>
          <w:color w:val="auto"/>
          <w:sz w:val="24"/>
          <w:highlight w:val="none"/>
        </w:rPr>
        <w:t>的</w:t>
      </w:r>
      <w:r>
        <w:rPr>
          <w:rFonts w:hint="eastAsia" w:ascii="仿宋" w:hAnsi="仿宋" w:eastAsia="仿宋"/>
          <w:color w:val="auto"/>
          <w:sz w:val="24"/>
          <w:highlight w:val="none"/>
        </w:rPr>
        <w:t>，必须符合其要求。</w:t>
      </w:r>
    </w:p>
    <w:p w14:paraId="2393699A">
      <w:pPr>
        <w:tabs>
          <w:tab w:val="left" w:pos="851"/>
        </w:tabs>
        <w:spacing w:line="360" w:lineRule="auto"/>
        <w:jc w:val="center"/>
        <w:outlineLvl w:val="1"/>
        <w:rPr>
          <w:rFonts w:ascii="仿宋" w:hAnsi="仿宋" w:eastAsia="仿宋"/>
          <w:b/>
          <w:color w:val="auto"/>
          <w:sz w:val="32"/>
          <w:szCs w:val="32"/>
          <w:highlight w:val="none"/>
        </w:rPr>
      </w:pPr>
      <w:r>
        <w:rPr>
          <w:rFonts w:ascii="仿宋" w:hAnsi="仿宋" w:eastAsia="仿宋"/>
          <w:b/>
          <w:bCs/>
          <w:color w:val="auto"/>
          <w:sz w:val="24"/>
          <w:highlight w:val="none"/>
        </w:rPr>
        <w:br w:type="page"/>
      </w:r>
      <w:r>
        <w:rPr>
          <w:rFonts w:hint="eastAsia" w:ascii="仿宋" w:hAnsi="仿宋" w:eastAsia="仿宋"/>
          <w:b/>
          <w:color w:val="auto"/>
          <w:sz w:val="32"/>
          <w:szCs w:val="32"/>
          <w:highlight w:val="none"/>
        </w:rPr>
        <w:t>十一、附  件</w:t>
      </w:r>
    </w:p>
    <w:p w14:paraId="5D62EA25">
      <w:pPr>
        <w:spacing w:line="360" w:lineRule="auto"/>
        <w:outlineLvl w:val="2"/>
        <w:rPr>
          <w:rFonts w:ascii="仿宋" w:hAnsi="仿宋" w:eastAsia="仿宋"/>
          <w:b/>
          <w:color w:val="auto"/>
          <w:sz w:val="24"/>
          <w:szCs w:val="28"/>
          <w:highlight w:val="none"/>
        </w:rPr>
      </w:pPr>
      <w:r>
        <w:rPr>
          <w:rFonts w:hint="eastAsia" w:ascii="仿宋" w:hAnsi="仿宋" w:eastAsia="仿宋"/>
          <w:b/>
          <w:color w:val="auto"/>
          <w:sz w:val="24"/>
          <w:szCs w:val="28"/>
          <w:highlight w:val="none"/>
        </w:rPr>
        <w:t>附件：</w:t>
      </w:r>
    </w:p>
    <w:p w14:paraId="0C153B8D">
      <w:pPr>
        <w:spacing w:line="420" w:lineRule="exact"/>
        <w:ind w:left="239" w:leftChars="114"/>
        <w:rPr>
          <w:rFonts w:ascii="仿宋" w:hAnsi="仿宋" w:eastAsia="仿宋"/>
          <w:color w:val="auto"/>
          <w:sz w:val="24"/>
          <w:highlight w:val="none"/>
        </w:rPr>
      </w:pPr>
      <w:r>
        <w:rPr>
          <w:rFonts w:hint="eastAsia" w:ascii="仿宋" w:hAnsi="仿宋" w:eastAsia="仿宋"/>
          <w:color w:val="auto"/>
          <w:sz w:val="24"/>
          <w:highlight w:val="none"/>
        </w:rPr>
        <w:t>1.成交结果公告发布网站为：《中国招标投标公共服务平台》。</w:t>
      </w:r>
    </w:p>
    <w:p w14:paraId="416D3E1E">
      <w:pPr>
        <w:widowControl/>
        <w:jc w:val="left"/>
        <w:rPr>
          <w:rFonts w:ascii="仿宋" w:hAnsi="仿宋" w:eastAsia="仿宋"/>
          <w:color w:val="auto"/>
          <w:sz w:val="24"/>
          <w:highlight w:val="none"/>
        </w:rPr>
      </w:pPr>
      <w:r>
        <w:rPr>
          <w:rFonts w:ascii="仿宋" w:hAnsi="仿宋" w:eastAsia="仿宋"/>
          <w:color w:val="auto"/>
          <w:sz w:val="24"/>
          <w:highlight w:val="none"/>
        </w:rPr>
        <w:br w:type="page"/>
      </w:r>
    </w:p>
    <w:p w14:paraId="54AA8CA0">
      <w:pPr>
        <w:spacing w:line="420" w:lineRule="exact"/>
        <w:ind w:left="239" w:leftChars="114"/>
        <w:rPr>
          <w:rFonts w:ascii="仿宋" w:hAnsi="仿宋" w:eastAsia="仿宋"/>
          <w:color w:val="auto"/>
          <w:sz w:val="24"/>
          <w:highlight w:val="none"/>
        </w:rPr>
        <w:sectPr>
          <w:footerReference r:id="rId7" w:type="first"/>
          <w:headerReference r:id="rId3" w:type="default"/>
          <w:footerReference r:id="rId5" w:type="default"/>
          <w:headerReference r:id="rId4" w:type="even"/>
          <w:footerReference r:id="rId6" w:type="even"/>
          <w:pgSz w:w="11906" w:h="16838"/>
          <w:pgMar w:top="1440" w:right="1797" w:bottom="1440" w:left="1797" w:header="851" w:footer="992" w:gutter="0"/>
          <w:cols w:space="425" w:num="1"/>
          <w:docGrid w:linePitch="312" w:charSpace="0"/>
        </w:sectPr>
      </w:pPr>
    </w:p>
    <w:p w14:paraId="7322F2BD">
      <w:pPr>
        <w:spacing w:line="360" w:lineRule="auto"/>
        <w:outlineLvl w:val="2"/>
        <w:rPr>
          <w:rFonts w:ascii="仿宋" w:hAnsi="仿宋" w:eastAsia="仿宋"/>
          <w:b/>
          <w:color w:val="auto"/>
          <w:sz w:val="24"/>
          <w:szCs w:val="28"/>
          <w:highlight w:val="none"/>
        </w:rPr>
      </w:pPr>
      <w:r>
        <w:rPr>
          <w:rFonts w:hint="eastAsia" w:ascii="仿宋" w:hAnsi="仿宋" w:eastAsia="仿宋"/>
          <w:b/>
          <w:color w:val="auto"/>
          <w:sz w:val="24"/>
          <w:szCs w:val="28"/>
          <w:highlight w:val="none"/>
        </w:rPr>
        <w:t>附件：递交响应文件签收表</w:t>
      </w:r>
    </w:p>
    <w:tbl>
      <w:tblPr>
        <w:tblStyle w:val="41"/>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077C4CBC">
        <w:tblPrEx>
          <w:tblCellMar>
            <w:top w:w="15" w:type="dxa"/>
            <w:left w:w="15" w:type="dxa"/>
            <w:bottom w:w="15" w:type="dxa"/>
            <w:right w:w="15" w:type="dxa"/>
          </w:tblCellMar>
        </w:tblPrEx>
        <w:trPr>
          <w:trHeight w:val="668" w:hRule="atLeast"/>
        </w:trPr>
        <w:tc>
          <w:tcPr>
            <w:tcW w:w="14314" w:type="dxa"/>
            <w:gridSpan w:val="7"/>
            <w:vAlign w:val="center"/>
          </w:tcPr>
          <w:p w14:paraId="36165CC4">
            <w:pPr>
              <w:jc w:val="center"/>
              <w:textAlignment w:val="center"/>
              <w:rPr>
                <w:rFonts w:ascii="仿宋" w:hAnsi="仿宋" w:eastAsia="仿宋" w:cs="黑体"/>
                <w:b/>
                <w:color w:val="auto"/>
                <w:sz w:val="36"/>
                <w:szCs w:val="36"/>
                <w:highlight w:val="none"/>
                <w:u w:val="single"/>
              </w:rPr>
            </w:pPr>
            <w:r>
              <w:rPr>
                <w:rFonts w:hint="eastAsia" w:ascii="仿宋" w:hAnsi="仿宋" w:eastAsia="仿宋" w:cs="黑体"/>
                <w:b/>
                <w:color w:val="auto"/>
                <w:sz w:val="36"/>
                <w:szCs w:val="36"/>
                <w:highlight w:val="none"/>
                <w:u w:val="single"/>
              </w:rPr>
              <w:t>递交响应文件签收表</w:t>
            </w:r>
          </w:p>
        </w:tc>
      </w:tr>
      <w:tr w14:paraId="205E1E23">
        <w:tblPrEx>
          <w:tblCellMar>
            <w:top w:w="15" w:type="dxa"/>
            <w:left w:w="15" w:type="dxa"/>
            <w:bottom w:w="15" w:type="dxa"/>
            <w:right w:w="15" w:type="dxa"/>
          </w:tblCellMar>
        </w:tblPrEx>
        <w:trPr>
          <w:trHeight w:val="463" w:hRule="atLeast"/>
        </w:trPr>
        <w:tc>
          <w:tcPr>
            <w:tcW w:w="1276" w:type="dxa"/>
            <w:vAlign w:val="center"/>
          </w:tcPr>
          <w:p w14:paraId="1A1DA16C">
            <w:pPr>
              <w:widowControl/>
              <w:jc w:val="lef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项目名称：</w:t>
            </w:r>
          </w:p>
        </w:tc>
        <w:tc>
          <w:tcPr>
            <w:tcW w:w="7938" w:type="dxa"/>
            <w:gridSpan w:val="4"/>
            <w:vAlign w:val="center"/>
          </w:tcPr>
          <w:p w14:paraId="7101F028">
            <w:pPr>
              <w:jc w:val="left"/>
              <w:rPr>
                <w:rFonts w:ascii="仿宋" w:hAnsi="仿宋" w:eastAsia="仿宋" w:cs="宋体"/>
                <w:b/>
                <w:color w:val="auto"/>
                <w:sz w:val="22"/>
                <w:szCs w:val="22"/>
                <w:highlight w:val="none"/>
              </w:rPr>
            </w:pPr>
          </w:p>
        </w:tc>
        <w:tc>
          <w:tcPr>
            <w:tcW w:w="2835" w:type="dxa"/>
            <w:vAlign w:val="center"/>
          </w:tcPr>
          <w:p w14:paraId="2BDD064B">
            <w:pPr>
              <w:widowControl/>
              <w:ind w:right="990"/>
              <w:jc w:val="righ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项目编号：</w:t>
            </w:r>
          </w:p>
        </w:tc>
        <w:tc>
          <w:tcPr>
            <w:tcW w:w="2265" w:type="dxa"/>
            <w:vAlign w:val="center"/>
          </w:tcPr>
          <w:p w14:paraId="180E128B">
            <w:pPr>
              <w:rPr>
                <w:rFonts w:ascii="仿宋" w:hAnsi="仿宋" w:eastAsia="仿宋" w:cs="宋体"/>
                <w:b/>
                <w:color w:val="auto"/>
                <w:sz w:val="22"/>
                <w:szCs w:val="22"/>
                <w:highlight w:val="none"/>
              </w:rPr>
            </w:pPr>
          </w:p>
        </w:tc>
      </w:tr>
      <w:tr w14:paraId="3622178C">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4CB9C911">
            <w:pPr>
              <w:widowControl/>
              <w:jc w:val="lef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采购时间：</w:t>
            </w:r>
          </w:p>
        </w:tc>
        <w:tc>
          <w:tcPr>
            <w:tcW w:w="1808" w:type="dxa"/>
            <w:tcBorders>
              <w:bottom w:val="single" w:color="000000" w:sz="12" w:space="0"/>
            </w:tcBorders>
            <w:vAlign w:val="center"/>
          </w:tcPr>
          <w:p w14:paraId="3ECE3BEC">
            <w:pPr>
              <w:rPr>
                <w:rFonts w:ascii="仿宋" w:hAnsi="仿宋" w:eastAsia="仿宋" w:cs="宋体"/>
                <w:b/>
                <w:color w:val="auto"/>
                <w:sz w:val="22"/>
                <w:szCs w:val="22"/>
                <w:highlight w:val="none"/>
              </w:rPr>
            </w:pPr>
          </w:p>
        </w:tc>
        <w:tc>
          <w:tcPr>
            <w:tcW w:w="1747" w:type="dxa"/>
            <w:tcBorders>
              <w:bottom w:val="single" w:color="000000" w:sz="12" w:space="0"/>
            </w:tcBorders>
            <w:vAlign w:val="center"/>
          </w:tcPr>
          <w:p w14:paraId="39287725">
            <w:pPr>
              <w:rPr>
                <w:rFonts w:ascii="仿宋" w:hAnsi="仿宋" w:eastAsia="仿宋" w:cs="宋体"/>
                <w:b/>
                <w:color w:val="auto"/>
                <w:sz w:val="22"/>
                <w:szCs w:val="22"/>
                <w:highlight w:val="none"/>
              </w:rPr>
            </w:pPr>
          </w:p>
        </w:tc>
        <w:tc>
          <w:tcPr>
            <w:tcW w:w="4383" w:type="dxa"/>
            <w:gridSpan w:val="2"/>
            <w:tcBorders>
              <w:bottom w:val="single" w:color="000000" w:sz="12" w:space="0"/>
            </w:tcBorders>
            <w:vAlign w:val="center"/>
          </w:tcPr>
          <w:p w14:paraId="451ED8EF">
            <w:pPr>
              <w:rPr>
                <w:rFonts w:ascii="仿宋" w:hAnsi="仿宋" w:eastAsia="仿宋" w:cs="宋体"/>
                <w:color w:val="auto"/>
                <w:highlight w:val="none"/>
              </w:rPr>
            </w:pPr>
          </w:p>
        </w:tc>
        <w:tc>
          <w:tcPr>
            <w:tcW w:w="2835" w:type="dxa"/>
            <w:tcBorders>
              <w:bottom w:val="single" w:color="000000" w:sz="12" w:space="0"/>
            </w:tcBorders>
            <w:vAlign w:val="center"/>
          </w:tcPr>
          <w:p w14:paraId="48057F30">
            <w:pPr>
              <w:widowControl/>
              <w:ind w:right="990"/>
              <w:jc w:val="right"/>
              <w:textAlignment w:val="center"/>
              <w:rPr>
                <w:rFonts w:ascii="仿宋" w:hAnsi="仿宋" w:eastAsia="仿宋" w:cs="宋体"/>
                <w:b/>
                <w:color w:val="auto"/>
                <w:sz w:val="22"/>
                <w:szCs w:val="22"/>
                <w:highlight w:val="none"/>
              </w:rPr>
            </w:pPr>
            <w:r>
              <w:rPr>
                <w:rFonts w:hint="eastAsia" w:ascii="仿宋" w:hAnsi="仿宋" w:eastAsia="仿宋" w:cs="宋体"/>
                <w:b/>
                <w:color w:val="auto"/>
                <w:kern w:val="0"/>
                <w:sz w:val="22"/>
                <w:szCs w:val="22"/>
                <w:highlight w:val="none"/>
              </w:rPr>
              <w:t>采购地点：</w:t>
            </w:r>
          </w:p>
        </w:tc>
        <w:tc>
          <w:tcPr>
            <w:tcW w:w="2265" w:type="dxa"/>
            <w:tcBorders>
              <w:bottom w:val="single" w:color="000000" w:sz="12" w:space="0"/>
            </w:tcBorders>
            <w:vAlign w:val="center"/>
          </w:tcPr>
          <w:p w14:paraId="05791A91">
            <w:pPr>
              <w:rPr>
                <w:rFonts w:ascii="仿宋" w:hAnsi="仿宋" w:eastAsia="仿宋" w:cs="宋体"/>
                <w:b/>
                <w:color w:val="auto"/>
                <w:sz w:val="22"/>
                <w:szCs w:val="22"/>
                <w:highlight w:val="none"/>
              </w:rPr>
            </w:pPr>
          </w:p>
        </w:tc>
      </w:tr>
      <w:tr w14:paraId="5573507E">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09A3D6C2">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5473CC49">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14:paraId="276841FB">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6E53FE13">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密封合格与否</w:t>
            </w:r>
          </w:p>
          <w:p w14:paraId="557C13B3">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（签收人确认）</w:t>
            </w:r>
          </w:p>
        </w:tc>
        <w:tc>
          <w:tcPr>
            <w:tcW w:w="2233" w:type="dxa"/>
            <w:tcBorders>
              <w:top w:val="single" w:color="000000" w:sz="12" w:space="0"/>
              <w:left w:val="single" w:color="auto" w:sz="4" w:space="0"/>
              <w:bottom w:val="single" w:color="000000" w:sz="4" w:space="0"/>
            </w:tcBorders>
            <w:vAlign w:val="center"/>
          </w:tcPr>
          <w:p w14:paraId="3D88F368">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30726C6B">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4C75BEE8">
            <w:pPr>
              <w:jc w:val="center"/>
              <w:textAlignment w:val="center"/>
              <w:rPr>
                <w:rFonts w:ascii="仿宋" w:hAnsi="仿宋" w:eastAsia="仿宋" w:cs="宋体"/>
                <w:b/>
                <w:color w:val="auto"/>
                <w:szCs w:val="21"/>
                <w:highlight w:val="none"/>
              </w:rPr>
            </w:pPr>
            <w:r>
              <w:rPr>
                <w:rFonts w:hint="eastAsia" w:ascii="仿宋" w:hAnsi="仿宋" w:eastAsia="仿宋" w:cs="宋体"/>
                <w:b/>
                <w:color w:val="auto"/>
                <w:szCs w:val="21"/>
                <w:highlight w:val="none"/>
              </w:rPr>
              <w:t>签收人</w:t>
            </w:r>
          </w:p>
        </w:tc>
      </w:tr>
      <w:tr w14:paraId="74021C5A">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2B794A86">
            <w:pPr>
              <w:jc w:val="center"/>
              <w:rPr>
                <w:rFonts w:ascii="仿宋" w:hAnsi="仿宋" w:eastAsia="仿宋" w:cs="Eʩ"/>
                <w:color w:val="auto"/>
                <w:szCs w:val="21"/>
                <w:highlight w:val="none"/>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0DE59208">
            <w:pPr>
              <w:rPr>
                <w:rFonts w:ascii="仿宋" w:hAnsi="仿宋" w:eastAsia="仿宋" w:cs="Eʩ"/>
                <w:color w:val="auto"/>
                <w:szCs w:val="21"/>
                <w:highlight w:val="none"/>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7C55D4C8">
            <w:pPr>
              <w:jc w:val="center"/>
              <w:textAlignment w:val="center"/>
              <w:rPr>
                <w:rStyle w:val="93"/>
                <w:rFonts w:hint="default" w:ascii="仿宋" w:hAnsi="仿宋" w:eastAsia="仿宋"/>
                <w:color w:val="auto"/>
                <w:highlight w:val="none"/>
              </w:rPr>
            </w:pPr>
            <w:r>
              <w:rPr>
                <w:rStyle w:val="93"/>
                <w:rFonts w:hint="default" w:ascii="仿宋" w:hAnsi="仿宋" w:eastAsia="仿宋"/>
                <w:color w:val="auto"/>
                <w:highlight w:val="none"/>
              </w:rPr>
              <w:t xml:space="preserve">  </w:t>
            </w:r>
          </w:p>
          <w:p w14:paraId="0FC3223C">
            <w:pPr>
              <w:jc w:val="center"/>
              <w:textAlignment w:val="center"/>
              <w:rPr>
                <w:rFonts w:ascii="仿宋" w:hAnsi="仿宋" w:eastAsia="仿宋" w:cs="Eʩ"/>
                <w:color w:val="auto"/>
                <w:szCs w:val="21"/>
                <w:highlight w:val="none"/>
                <w:u w:val="single"/>
              </w:rPr>
            </w:pPr>
            <w:r>
              <w:rPr>
                <w:rStyle w:val="93"/>
                <w:rFonts w:hint="default" w:ascii="仿宋" w:hAnsi="仿宋" w:eastAsia="仿宋"/>
                <w:color w:val="auto"/>
                <w:highlight w:val="none"/>
              </w:rPr>
              <w:t>年  月  日</w:t>
            </w:r>
          </w:p>
          <w:p w14:paraId="30BF3AE1">
            <w:pPr>
              <w:jc w:val="center"/>
              <w:rPr>
                <w:rFonts w:ascii="仿宋" w:hAnsi="仿宋" w:eastAsia="仿宋" w:cs="Eʩ"/>
                <w:color w:val="auto"/>
                <w:sz w:val="32"/>
                <w:szCs w:val="32"/>
                <w:highlight w:val="none"/>
              </w:rPr>
            </w:pPr>
            <w:r>
              <w:rPr>
                <w:rStyle w:val="93"/>
                <w:rFonts w:hint="default" w:ascii="仿宋" w:hAnsi="仿宋" w:eastAsia="仿宋"/>
                <w:color w:val="auto"/>
                <w:highlight w:val="none"/>
              </w:rPr>
              <w:t>时   分</w:t>
            </w:r>
          </w:p>
        </w:tc>
        <w:tc>
          <w:tcPr>
            <w:tcW w:w="2150" w:type="dxa"/>
            <w:vMerge w:val="restart"/>
            <w:tcBorders>
              <w:top w:val="single" w:color="000000" w:sz="4" w:space="0"/>
              <w:left w:val="single" w:color="000000" w:sz="4" w:space="0"/>
              <w:right w:val="single" w:color="auto" w:sz="4" w:space="0"/>
            </w:tcBorders>
            <w:vAlign w:val="center"/>
          </w:tcPr>
          <w:p w14:paraId="1A84BD53">
            <w:pPr>
              <w:jc w:val="center"/>
              <w:textAlignment w:val="center"/>
              <w:rPr>
                <w:rFonts w:ascii="仿宋" w:hAnsi="仿宋" w:eastAsia="仿宋" w:cs="Eʩ"/>
                <w:color w:val="auto"/>
                <w:szCs w:val="21"/>
                <w:highlight w:val="none"/>
              </w:rPr>
            </w:pPr>
            <w:r>
              <w:rPr>
                <w:rFonts w:hint="eastAsia" w:ascii="仿宋" w:hAnsi="仿宋" w:eastAsia="仿宋" w:cs="黑体"/>
                <w:color w:val="auto"/>
                <w:szCs w:val="21"/>
                <w:highlight w:val="none"/>
              </w:rPr>
              <w:t>□</w:t>
            </w:r>
            <w:r>
              <w:rPr>
                <w:rFonts w:hint="eastAsia" w:ascii="仿宋" w:hAnsi="仿宋" w:eastAsia="仿宋" w:cs="Eʩ"/>
                <w:color w:val="auto"/>
                <w:szCs w:val="21"/>
                <w:highlight w:val="none"/>
              </w:rPr>
              <w:t>是</w:t>
            </w:r>
          </w:p>
          <w:p w14:paraId="04143EAB">
            <w:pPr>
              <w:jc w:val="center"/>
              <w:textAlignment w:val="center"/>
              <w:rPr>
                <w:rFonts w:ascii="仿宋" w:hAnsi="仿宋" w:eastAsia="仿宋" w:cs="Eʩ"/>
                <w:color w:val="auto"/>
                <w:szCs w:val="21"/>
                <w:highlight w:val="none"/>
              </w:rPr>
            </w:pPr>
          </w:p>
          <w:p w14:paraId="3557D4E1">
            <w:pPr>
              <w:jc w:val="center"/>
              <w:textAlignment w:val="center"/>
              <w:rPr>
                <w:rFonts w:ascii="仿宋" w:hAnsi="仿宋" w:eastAsia="仿宋" w:cs="宋体"/>
                <w:b/>
                <w:bCs/>
                <w:color w:val="auto"/>
                <w:szCs w:val="21"/>
                <w:highlight w:val="none"/>
              </w:rPr>
            </w:pPr>
            <w:r>
              <w:rPr>
                <w:rFonts w:hint="eastAsia" w:ascii="仿宋" w:hAnsi="仿宋" w:eastAsia="仿宋" w:cs="黑体"/>
                <w:color w:val="auto"/>
                <w:szCs w:val="21"/>
                <w:highlight w:val="none"/>
              </w:rPr>
              <w:t>□</w:t>
            </w:r>
            <w:r>
              <w:rPr>
                <w:rFonts w:hint="eastAsia" w:ascii="仿宋" w:hAnsi="仿宋" w:eastAsia="仿宋" w:cs="Eʩ"/>
                <w:color w:val="auto"/>
                <w:szCs w:val="21"/>
                <w:highlight w:val="none"/>
              </w:rPr>
              <w:t>否</w:t>
            </w:r>
          </w:p>
        </w:tc>
        <w:tc>
          <w:tcPr>
            <w:tcW w:w="2233" w:type="dxa"/>
            <w:tcBorders>
              <w:top w:val="single" w:color="000000" w:sz="4" w:space="0"/>
              <w:left w:val="single" w:color="auto" w:sz="4" w:space="0"/>
              <w:bottom w:val="single" w:color="auto" w:sz="4" w:space="0"/>
            </w:tcBorders>
          </w:tcPr>
          <w:p w14:paraId="1F362491">
            <w:pPr>
              <w:jc w:val="left"/>
              <w:textAlignment w:val="center"/>
              <w:rPr>
                <w:rFonts w:ascii="仿宋" w:hAnsi="仿宋" w:eastAsia="仿宋" w:cs="Eʩ"/>
                <w:color w:val="auto"/>
                <w:szCs w:val="21"/>
                <w:highlight w:val="none"/>
                <w:u w:val="single"/>
              </w:rPr>
            </w:pPr>
            <w:r>
              <w:rPr>
                <w:rFonts w:hint="eastAsia" w:ascii="仿宋" w:hAnsi="仿宋" w:eastAsia="仿宋" w:cs="宋体"/>
                <w:color w:val="auto"/>
                <w:szCs w:val="21"/>
                <w:highlight w:val="none"/>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3415DAE5">
            <w:pPr>
              <w:jc w:val="center"/>
              <w:rPr>
                <w:rFonts w:ascii="仿宋" w:hAnsi="仿宋" w:eastAsia="仿宋" w:cs="宋体"/>
                <w:color w:val="auto"/>
                <w:szCs w:val="21"/>
                <w:highlight w:val="none"/>
              </w:rPr>
            </w:pPr>
          </w:p>
          <w:p w14:paraId="38201CED">
            <w:pPr>
              <w:jc w:val="center"/>
              <w:rPr>
                <w:rFonts w:ascii="仿宋" w:hAnsi="仿宋" w:eastAsia="仿宋" w:cs="宋体"/>
                <w:color w:val="auto"/>
                <w:szCs w:val="21"/>
                <w:highlight w:val="none"/>
              </w:rPr>
            </w:pPr>
            <w:r>
              <w:rPr>
                <w:rFonts w:hint="eastAsia" w:ascii="仿宋" w:hAnsi="仿宋" w:eastAsia="仿宋" w:cs="宋体"/>
                <w:color w:val="auto"/>
                <w:szCs w:val="21"/>
                <w:highlight w:val="none"/>
              </w:rPr>
              <w:t>供应商代表签字：</w:t>
            </w:r>
          </w:p>
          <w:p w14:paraId="1C725A87">
            <w:pPr>
              <w:jc w:val="left"/>
              <w:rPr>
                <w:rFonts w:ascii="仿宋" w:hAnsi="仿宋" w:eastAsia="仿宋" w:cs="Eʩ"/>
                <w:color w:val="auto"/>
                <w:sz w:val="32"/>
                <w:szCs w:val="32"/>
                <w:highlight w:val="none"/>
                <w:u w:val="single"/>
              </w:rPr>
            </w:pPr>
            <w:r>
              <w:rPr>
                <w:rFonts w:ascii="仿宋" w:hAnsi="仿宋" w:eastAsia="仿宋" w:cs="Eʩ"/>
                <w:color w:val="auto"/>
                <w:sz w:val="32"/>
                <w:szCs w:val="32"/>
                <w:highlight w:val="none"/>
                <w:u w:val="single"/>
              </w:rPr>
              <w:t xml:space="preserve">         </w:t>
            </w:r>
            <w:r>
              <w:rPr>
                <w:rFonts w:hint="eastAsia" w:ascii="仿宋" w:hAnsi="仿宋" w:eastAsia="仿宋" w:cs="Eʩ"/>
                <w:color w:val="auto"/>
                <w:sz w:val="32"/>
                <w:szCs w:val="32"/>
                <w:highlight w:val="none"/>
                <w:u w:val="single"/>
              </w:rPr>
              <w:t xml:space="preserve">    </w:t>
            </w:r>
            <w:r>
              <w:rPr>
                <w:rFonts w:ascii="仿宋" w:hAnsi="仿宋" w:eastAsia="仿宋" w:cs="Eʩ"/>
                <w:color w:val="auto"/>
                <w:sz w:val="32"/>
                <w:szCs w:val="32"/>
                <w:highlight w:val="none"/>
                <w:u w:val="single"/>
              </w:rPr>
              <w:t xml:space="preserve">    </w:t>
            </w:r>
          </w:p>
        </w:tc>
        <w:tc>
          <w:tcPr>
            <w:tcW w:w="2265" w:type="dxa"/>
            <w:vMerge w:val="restart"/>
            <w:tcBorders>
              <w:top w:val="single" w:color="000000" w:sz="4" w:space="0"/>
              <w:left w:val="single" w:color="000000" w:sz="4" w:space="0"/>
              <w:right w:val="single" w:color="000000" w:sz="12" w:space="0"/>
            </w:tcBorders>
          </w:tcPr>
          <w:p w14:paraId="6B00F725">
            <w:pPr>
              <w:textAlignment w:val="center"/>
              <w:rPr>
                <w:rFonts w:ascii="仿宋" w:hAnsi="仿宋" w:eastAsia="仿宋" w:cs="宋体"/>
                <w:color w:val="auto"/>
                <w:szCs w:val="21"/>
                <w:highlight w:val="none"/>
              </w:rPr>
            </w:pPr>
          </w:p>
        </w:tc>
      </w:tr>
      <w:tr w14:paraId="26A46F7A">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5155852E">
            <w:pPr>
              <w:jc w:val="center"/>
              <w:rPr>
                <w:rFonts w:ascii="仿宋" w:hAnsi="仿宋" w:eastAsia="仿宋" w:cs="Eʩ"/>
                <w:color w:val="auto"/>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21040D52">
            <w:pPr>
              <w:rPr>
                <w:rFonts w:ascii="仿宋" w:hAnsi="仿宋" w:eastAsia="仿宋" w:cs="Eʩ"/>
                <w:color w:val="auto"/>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49FC6E3D">
            <w:pPr>
              <w:jc w:val="center"/>
              <w:rPr>
                <w:rFonts w:ascii="仿宋" w:hAnsi="仿宋" w:eastAsia="仿宋" w:cs="Eʩ"/>
                <w:color w:val="auto"/>
                <w:sz w:val="32"/>
                <w:szCs w:val="32"/>
                <w:highlight w:val="none"/>
              </w:rPr>
            </w:pPr>
          </w:p>
        </w:tc>
        <w:tc>
          <w:tcPr>
            <w:tcW w:w="2150" w:type="dxa"/>
            <w:vMerge w:val="continue"/>
            <w:tcBorders>
              <w:left w:val="single" w:color="000000" w:sz="4" w:space="0"/>
              <w:right w:val="single" w:color="auto" w:sz="4" w:space="0"/>
            </w:tcBorders>
            <w:vAlign w:val="center"/>
          </w:tcPr>
          <w:p w14:paraId="2F380A68">
            <w:pPr>
              <w:textAlignment w:val="center"/>
              <w:rPr>
                <w:rFonts w:ascii="仿宋" w:hAnsi="仿宋" w:eastAsia="仿宋" w:cs="宋体"/>
                <w:color w:val="auto"/>
                <w:szCs w:val="21"/>
                <w:highlight w:val="none"/>
              </w:rPr>
            </w:pPr>
          </w:p>
        </w:tc>
        <w:tc>
          <w:tcPr>
            <w:tcW w:w="2233" w:type="dxa"/>
            <w:tcBorders>
              <w:top w:val="single" w:color="auto" w:sz="4" w:space="0"/>
              <w:left w:val="single" w:color="auto" w:sz="4" w:space="0"/>
              <w:bottom w:val="single" w:color="auto" w:sz="4" w:space="0"/>
            </w:tcBorders>
          </w:tcPr>
          <w:p w14:paraId="36AD430E">
            <w:pPr>
              <w:jc w:val="left"/>
              <w:textAlignment w:val="center"/>
              <w:rPr>
                <w:rFonts w:ascii="仿宋" w:hAnsi="仿宋" w:eastAsia="仿宋" w:cs="Eʩ"/>
                <w:b/>
                <w:bCs/>
                <w:color w:val="auto"/>
                <w:szCs w:val="21"/>
                <w:highlight w:val="none"/>
                <w:u w:val="single"/>
              </w:rPr>
            </w:pPr>
            <w:r>
              <w:rPr>
                <w:rFonts w:hint="eastAsia" w:ascii="仿宋" w:hAnsi="仿宋" w:eastAsia="仿宋" w:cs="宋体"/>
                <w:color w:val="auto"/>
                <w:szCs w:val="21"/>
                <w:highlight w:val="none"/>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4232BB15">
            <w:pPr>
              <w:jc w:val="center"/>
              <w:rPr>
                <w:rFonts w:ascii="仿宋" w:hAnsi="仿宋" w:eastAsia="仿宋" w:cs="Eʩ"/>
                <w:color w:val="auto"/>
                <w:sz w:val="32"/>
                <w:szCs w:val="32"/>
                <w:highlight w:val="none"/>
              </w:rPr>
            </w:pPr>
          </w:p>
        </w:tc>
        <w:tc>
          <w:tcPr>
            <w:tcW w:w="2265" w:type="dxa"/>
            <w:vMerge w:val="continue"/>
            <w:tcBorders>
              <w:left w:val="single" w:color="000000" w:sz="4" w:space="0"/>
              <w:right w:val="single" w:color="000000" w:sz="12" w:space="0"/>
            </w:tcBorders>
          </w:tcPr>
          <w:p w14:paraId="63638445">
            <w:pPr>
              <w:textAlignment w:val="center"/>
              <w:rPr>
                <w:rFonts w:ascii="仿宋" w:hAnsi="仿宋" w:eastAsia="仿宋" w:cs="宋体"/>
                <w:color w:val="auto"/>
                <w:szCs w:val="21"/>
                <w:highlight w:val="none"/>
              </w:rPr>
            </w:pPr>
          </w:p>
        </w:tc>
      </w:tr>
      <w:tr w14:paraId="25CFCA39">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62B0B61A">
            <w:pPr>
              <w:jc w:val="center"/>
              <w:rPr>
                <w:rFonts w:ascii="仿宋" w:hAnsi="仿宋" w:eastAsia="仿宋" w:cs="Eʩ"/>
                <w:color w:val="auto"/>
                <w:szCs w:val="21"/>
                <w:highlight w:val="none"/>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177E57AD">
            <w:pPr>
              <w:rPr>
                <w:rFonts w:ascii="仿宋" w:hAnsi="仿宋" w:eastAsia="仿宋" w:cs="Eʩ"/>
                <w:color w:val="auto"/>
                <w:szCs w:val="21"/>
                <w:highlight w:val="none"/>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120CC5F5">
            <w:pPr>
              <w:jc w:val="center"/>
              <w:rPr>
                <w:rFonts w:ascii="仿宋" w:hAnsi="仿宋" w:eastAsia="仿宋" w:cs="Eʩ"/>
                <w:color w:val="auto"/>
                <w:sz w:val="32"/>
                <w:szCs w:val="32"/>
                <w:highlight w:val="none"/>
              </w:rPr>
            </w:pPr>
          </w:p>
        </w:tc>
        <w:tc>
          <w:tcPr>
            <w:tcW w:w="2150" w:type="dxa"/>
            <w:vMerge w:val="continue"/>
            <w:tcBorders>
              <w:left w:val="single" w:color="000000" w:sz="4" w:space="0"/>
              <w:bottom w:val="nil"/>
              <w:right w:val="single" w:color="auto" w:sz="4" w:space="0"/>
            </w:tcBorders>
            <w:vAlign w:val="center"/>
          </w:tcPr>
          <w:p w14:paraId="2816BD48">
            <w:pPr>
              <w:textAlignment w:val="center"/>
              <w:rPr>
                <w:rFonts w:ascii="仿宋" w:hAnsi="仿宋" w:eastAsia="仿宋" w:cs="宋体"/>
                <w:color w:val="auto"/>
                <w:szCs w:val="21"/>
                <w:highlight w:val="none"/>
              </w:rPr>
            </w:pPr>
          </w:p>
        </w:tc>
        <w:tc>
          <w:tcPr>
            <w:tcW w:w="2233" w:type="dxa"/>
            <w:tcBorders>
              <w:top w:val="single" w:color="auto" w:sz="4" w:space="0"/>
              <w:left w:val="single" w:color="auto" w:sz="4" w:space="0"/>
              <w:bottom w:val="nil"/>
            </w:tcBorders>
          </w:tcPr>
          <w:p w14:paraId="152D43D3">
            <w:pPr>
              <w:jc w:val="left"/>
              <w:textAlignment w:val="center"/>
              <w:rPr>
                <w:rFonts w:ascii="仿宋" w:hAnsi="仿宋" w:eastAsia="仿宋" w:cs="Eʩ"/>
                <w:color w:val="auto"/>
                <w:szCs w:val="21"/>
                <w:highlight w:val="none"/>
                <w:u w:val="single"/>
              </w:rPr>
            </w:pPr>
            <w:r>
              <w:rPr>
                <w:rFonts w:hint="eastAsia" w:ascii="仿宋" w:hAnsi="仿宋" w:eastAsia="仿宋" w:cs="宋体"/>
                <w:color w:val="auto"/>
                <w:szCs w:val="21"/>
                <w:highlight w:val="none"/>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20DBB4A1">
            <w:pPr>
              <w:jc w:val="center"/>
              <w:rPr>
                <w:rFonts w:ascii="仿宋" w:hAnsi="仿宋" w:eastAsia="仿宋" w:cs="Eʩ"/>
                <w:color w:val="auto"/>
                <w:sz w:val="32"/>
                <w:szCs w:val="32"/>
                <w:highlight w:val="none"/>
              </w:rPr>
            </w:pPr>
          </w:p>
        </w:tc>
        <w:tc>
          <w:tcPr>
            <w:tcW w:w="2265" w:type="dxa"/>
            <w:vMerge w:val="continue"/>
            <w:tcBorders>
              <w:left w:val="single" w:color="000000" w:sz="4" w:space="0"/>
              <w:bottom w:val="nil"/>
              <w:right w:val="single" w:color="000000" w:sz="12" w:space="0"/>
            </w:tcBorders>
          </w:tcPr>
          <w:p w14:paraId="7D6BB98C">
            <w:pPr>
              <w:textAlignment w:val="center"/>
              <w:rPr>
                <w:rFonts w:ascii="仿宋" w:hAnsi="仿宋" w:eastAsia="仿宋" w:cs="宋体"/>
                <w:color w:val="auto"/>
                <w:szCs w:val="21"/>
                <w:highlight w:val="none"/>
              </w:rPr>
            </w:pPr>
          </w:p>
        </w:tc>
      </w:tr>
      <w:tr w14:paraId="3DE8601B">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0388610A">
            <w:pPr>
              <w:textAlignment w:val="center"/>
              <w:rPr>
                <w:rFonts w:ascii="仿宋" w:hAnsi="仿宋" w:eastAsia="仿宋" w:cs="宋体"/>
                <w:color w:val="auto"/>
                <w:highlight w:val="none"/>
              </w:rPr>
            </w:pPr>
          </w:p>
        </w:tc>
        <w:tc>
          <w:tcPr>
            <w:tcW w:w="13038" w:type="dxa"/>
            <w:gridSpan w:val="6"/>
            <w:tcBorders>
              <w:top w:val="single" w:color="000000" w:sz="12" w:space="0"/>
            </w:tcBorders>
            <w:vAlign w:val="center"/>
          </w:tcPr>
          <w:p w14:paraId="673F5B8A">
            <w:pPr>
              <w:rPr>
                <w:rFonts w:ascii="仿宋" w:hAnsi="仿宋" w:eastAsia="仿宋" w:cs="宋体"/>
                <w:color w:val="auto"/>
                <w:highlight w:val="none"/>
                <w:u w:val="single"/>
              </w:rPr>
            </w:pPr>
          </w:p>
        </w:tc>
      </w:tr>
      <w:tr w14:paraId="0DE16A4A">
        <w:tblPrEx>
          <w:tblCellMar>
            <w:top w:w="15" w:type="dxa"/>
            <w:left w:w="15" w:type="dxa"/>
            <w:bottom w:w="15" w:type="dxa"/>
            <w:right w:w="15" w:type="dxa"/>
          </w:tblCellMar>
        </w:tblPrEx>
        <w:trPr>
          <w:trHeight w:val="737" w:hRule="atLeast"/>
        </w:trPr>
        <w:tc>
          <w:tcPr>
            <w:tcW w:w="14314" w:type="dxa"/>
            <w:gridSpan w:val="7"/>
            <w:vAlign w:val="bottom"/>
          </w:tcPr>
          <w:p w14:paraId="160A2EF7">
            <w:pPr>
              <w:textAlignment w:val="bottom"/>
              <w:rPr>
                <w:rFonts w:ascii="仿宋" w:hAnsi="仿宋" w:eastAsia="仿宋" w:cs="宋体"/>
                <w:color w:val="auto"/>
                <w:highlight w:val="none"/>
              </w:rPr>
            </w:pPr>
            <w:r>
              <w:rPr>
                <w:rFonts w:hint="eastAsia" w:ascii="仿宋" w:hAnsi="仿宋" w:eastAsia="仿宋" w:cs="宋体"/>
                <w:color w:val="auto"/>
                <w:highlight w:val="none"/>
              </w:rPr>
              <w:t>备注：请以正楷字填写各项目内容，“递交时间”、“联系方式”请在现场签收时填写。我公司将向供应商出具响应文件签收回执，请供应商代表在“签收回执确认”签字确认。</w:t>
            </w:r>
          </w:p>
        </w:tc>
      </w:tr>
    </w:tbl>
    <w:p w14:paraId="698A5244">
      <w:pPr>
        <w:widowControl/>
        <w:jc w:val="left"/>
        <w:rPr>
          <w:rFonts w:ascii="仿宋" w:hAnsi="仿宋" w:eastAsia="仿宋"/>
          <w:color w:val="auto"/>
          <w:sz w:val="24"/>
          <w:highlight w:val="none"/>
        </w:rPr>
        <w:sectPr>
          <w:pgSz w:w="16838" w:h="11906" w:orient="landscape"/>
          <w:pgMar w:top="1797" w:right="1440" w:bottom="1797" w:left="1440" w:header="851" w:footer="992" w:gutter="0"/>
          <w:cols w:space="425" w:num="1"/>
          <w:docGrid w:linePitch="312" w:charSpace="0"/>
        </w:sectPr>
      </w:pPr>
    </w:p>
    <w:p w14:paraId="78CADAED">
      <w:pPr>
        <w:pStyle w:val="38"/>
        <w:rPr>
          <w:rFonts w:ascii="仿宋" w:hAnsi="仿宋" w:eastAsia="仿宋"/>
          <w:color w:val="auto"/>
          <w:highlight w:val="none"/>
        </w:rPr>
      </w:pPr>
      <w:bookmarkStart w:id="76" w:name="_Toc94214577"/>
      <w:r>
        <w:rPr>
          <w:rFonts w:hint="eastAsia" w:ascii="仿宋" w:hAnsi="仿宋" w:eastAsia="仿宋"/>
          <w:color w:val="auto"/>
          <w:highlight w:val="none"/>
        </w:rPr>
        <w:t>第三章  供应商和报价产品的资格、资质性及其他类似效力要求</w:t>
      </w:r>
      <w:bookmarkEnd w:id="76"/>
    </w:p>
    <w:p w14:paraId="52749315">
      <w:pPr>
        <w:spacing w:line="360" w:lineRule="auto"/>
        <w:rPr>
          <w:rFonts w:ascii="仿宋" w:hAnsi="仿宋" w:eastAsia="仿宋"/>
          <w:b/>
          <w:color w:val="auto"/>
          <w:sz w:val="32"/>
          <w:szCs w:val="32"/>
          <w:highlight w:val="none"/>
        </w:rPr>
      </w:pPr>
    </w:p>
    <w:p w14:paraId="48E0FC90">
      <w:pPr>
        <w:spacing w:line="360" w:lineRule="auto"/>
        <w:ind w:firstLine="542" w:firstLineChars="225"/>
        <w:outlineLvl w:val="1"/>
        <w:rPr>
          <w:rFonts w:ascii="仿宋" w:hAnsi="仿宋" w:eastAsia="仿宋"/>
          <w:b/>
          <w:color w:val="auto"/>
          <w:sz w:val="24"/>
          <w:highlight w:val="none"/>
        </w:rPr>
      </w:pPr>
      <w:r>
        <w:rPr>
          <w:rFonts w:hint="eastAsia" w:ascii="仿宋" w:hAnsi="仿宋" w:eastAsia="仿宋"/>
          <w:b/>
          <w:color w:val="auto"/>
          <w:sz w:val="24"/>
          <w:highlight w:val="none"/>
        </w:rPr>
        <w:t>一、参加谈判的供应商应具备下列资格条件：</w:t>
      </w:r>
    </w:p>
    <w:p w14:paraId="02610750">
      <w:pPr>
        <w:spacing w:line="360" w:lineRule="auto"/>
        <w:ind w:firstLine="542" w:firstLineChars="225"/>
        <w:outlineLvl w:val="2"/>
        <w:rPr>
          <w:rFonts w:ascii="仿宋" w:hAnsi="仿宋" w:eastAsia="仿宋"/>
          <w:b/>
          <w:color w:val="auto"/>
          <w:sz w:val="24"/>
          <w:highlight w:val="none"/>
        </w:rPr>
      </w:pPr>
      <w:r>
        <w:rPr>
          <w:rFonts w:hint="eastAsia" w:ascii="仿宋" w:hAnsi="仿宋" w:eastAsia="仿宋"/>
          <w:b/>
          <w:color w:val="auto"/>
          <w:sz w:val="24"/>
          <w:highlight w:val="none"/>
        </w:rPr>
        <w:t>（一）资格条件：</w:t>
      </w:r>
    </w:p>
    <w:p w14:paraId="5AE7007A">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ascii="仿宋" w:hAnsi="仿宋" w:eastAsia="仿宋" w:cs="宋体"/>
          <w:color w:val="auto"/>
          <w:sz w:val="24"/>
          <w:highlight w:val="none"/>
        </w:rPr>
        <w:t>1</w:t>
      </w:r>
      <w:r>
        <w:rPr>
          <w:rFonts w:hint="eastAsia" w:ascii="仿宋" w:hAnsi="仿宋" w:eastAsia="仿宋" w:cs="宋体"/>
          <w:color w:val="auto"/>
          <w:sz w:val="24"/>
          <w:highlight w:val="none"/>
        </w:rPr>
        <w:t>.具有独立承担民事责任的能力；</w:t>
      </w:r>
    </w:p>
    <w:p w14:paraId="0E1EE85E">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2.具有良好的商业信誉和健全的财务会计制度；</w:t>
      </w:r>
    </w:p>
    <w:p w14:paraId="36AA1156">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3.具有履行合同所必需的设备和专业技术能力；</w:t>
      </w:r>
    </w:p>
    <w:p w14:paraId="43BD5C2E">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4.具有依法缴纳税收和社会保障资金的良好记录；</w:t>
      </w:r>
    </w:p>
    <w:p w14:paraId="07EFB06B">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5.参加采购活动前三年内，在经营活动中没有重大违法记录；</w:t>
      </w:r>
    </w:p>
    <w:p w14:paraId="58DD3C8A">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6.法律、行政法规规定的其他条件；</w:t>
      </w:r>
    </w:p>
    <w:p w14:paraId="532F7617">
      <w:pPr>
        <w:pStyle w:val="60"/>
        <w:keepNext w:val="0"/>
        <w:keepLines w:val="0"/>
        <w:pageBreakBefore w:val="0"/>
        <w:widowControl w:val="0"/>
        <w:kinsoku/>
        <w:wordWrap/>
        <w:overflowPunct/>
        <w:topLinePunct w:val="0"/>
        <w:bidi w:val="0"/>
        <w:spacing w:line="360" w:lineRule="auto"/>
        <w:ind w:firstLine="600" w:firstLineChars="250"/>
        <w:textAlignment w:val="auto"/>
        <w:rPr>
          <w:rFonts w:ascii="仿宋" w:hAnsi="仿宋" w:eastAsia="仿宋" w:cs="宋体"/>
          <w:color w:val="auto"/>
          <w:sz w:val="24"/>
          <w:highlight w:val="none"/>
        </w:rPr>
      </w:pPr>
      <w:r>
        <w:rPr>
          <w:rFonts w:hint="eastAsia" w:ascii="仿宋" w:hAnsi="仿宋" w:eastAsia="仿宋" w:cs="宋体"/>
          <w:color w:val="auto"/>
          <w:sz w:val="24"/>
          <w:highlight w:val="none"/>
        </w:rPr>
        <w:t>7.根据采购项目提出的特殊条件</w:t>
      </w:r>
      <w:r>
        <w:rPr>
          <w:rFonts w:ascii="仿宋" w:hAnsi="仿宋" w:eastAsia="仿宋" w:cs="宋体"/>
          <w:color w:val="auto"/>
          <w:sz w:val="24"/>
          <w:highlight w:val="none"/>
        </w:rPr>
        <w:t>；</w:t>
      </w:r>
    </w:p>
    <w:p w14:paraId="2F210C68">
      <w:pPr>
        <w:pStyle w:val="2"/>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（1）具备建设行政主管部门颁发的建筑工程施工总承包三级及以上资质。</w:t>
      </w:r>
    </w:p>
    <w:p w14:paraId="24E1E3AC">
      <w:pPr>
        <w:pStyle w:val="2"/>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（2）具备有效的《安全生产许可证》。</w:t>
      </w:r>
    </w:p>
    <w:p w14:paraId="01DF509F">
      <w:pPr>
        <w:pStyle w:val="2"/>
        <w:keepNext w:val="0"/>
        <w:keepLines w:val="0"/>
        <w:pageBreakBefore w:val="0"/>
        <w:widowControl w:val="0"/>
        <w:kinsoku/>
        <w:wordWrap/>
        <w:overflowPunct/>
        <w:topLinePunct w:val="0"/>
        <w:bidi w:val="0"/>
        <w:adjustRightInd w:val="0"/>
        <w:snapToGrid w:val="0"/>
        <w:spacing w:line="360" w:lineRule="auto"/>
        <w:ind w:firstLine="480" w:firstLineChars="200"/>
        <w:contextualSpacing/>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3）如成交供应商为四川省省外企业的，在合同签订前应具备有效的《四川省省外企业入川从事建筑活动备案证》或《四川省省外建筑企业入川承揽业务验证登记证》或带二维码的《四川省省外施工、监理企业入川承揽业务信息录入证》或《四川省省外建筑企业入川信息报送电子登记表》。</w:t>
      </w:r>
    </w:p>
    <w:p w14:paraId="679E23E8">
      <w:pPr>
        <w:spacing w:line="360" w:lineRule="auto"/>
        <w:ind w:firstLine="542" w:firstLineChars="225"/>
        <w:outlineLvl w:val="2"/>
        <w:rPr>
          <w:rFonts w:ascii="仿宋" w:hAnsi="仿宋" w:eastAsia="仿宋"/>
          <w:b/>
          <w:color w:val="auto"/>
          <w:sz w:val="24"/>
          <w:highlight w:val="none"/>
        </w:rPr>
      </w:pPr>
      <w:r>
        <w:rPr>
          <w:rFonts w:hint="eastAsia" w:ascii="仿宋" w:hAnsi="仿宋" w:eastAsia="仿宋"/>
          <w:b/>
          <w:color w:val="auto"/>
          <w:sz w:val="24"/>
          <w:highlight w:val="none"/>
        </w:rPr>
        <w:t>（二）其他类似效力要求：</w:t>
      </w:r>
    </w:p>
    <w:p w14:paraId="17331F58">
      <w:pPr>
        <w:spacing w:line="360" w:lineRule="auto"/>
        <w:ind w:firstLine="540" w:firstLineChars="225"/>
        <w:rPr>
          <w:rFonts w:ascii="仿宋" w:hAnsi="仿宋" w:eastAsia="仿宋"/>
          <w:b/>
          <w:color w:val="auto"/>
          <w:sz w:val="24"/>
          <w:highlight w:val="none"/>
        </w:rPr>
      </w:pPr>
      <w:r>
        <w:rPr>
          <w:rFonts w:hint="eastAsia" w:ascii="仿宋" w:hAnsi="仿宋" w:eastAsia="仿宋"/>
          <w:color w:val="auto"/>
          <w:sz w:val="24"/>
          <w:highlight w:val="none"/>
        </w:rPr>
        <w:t>1.授权参加本次采购活动的供应商代表证明材料。</w:t>
      </w:r>
    </w:p>
    <w:p w14:paraId="2C6D3846">
      <w:pPr>
        <w:spacing w:line="360" w:lineRule="auto"/>
        <w:ind w:firstLine="542" w:firstLineChars="225"/>
        <w:outlineLvl w:val="1"/>
        <w:rPr>
          <w:rFonts w:ascii="仿宋" w:hAnsi="仿宋" w:eastAsia="仿宋"/>
          <w:b/>
          <w:color w:val="auto"/>
          <w:sz w:val="24"/>
          <w:highlight w:val="none"/>
        </w:rPr>
      </w:pPr>
      <w:r>
        <w:rPr>
          <w:rFonts w:hint="eastAsia" w:ascii="仿宋" w:hAnsi="仿宋" w:eastAsia="仿宋"/>
          <w:b/>
          <w:color w:val="auto"/>
          <w:sz w:val="24"/>
          <w:highlight w:val="none"/>
        </w:rPr>
        <w:t>二、报价产品的资格、资质性及其他类似效力要求</w:t>
      </w:r>
    </w:p>
    <w:p w14:paraId="2A5ECC65">
      <w:pPr>
        <w:spacing w:line="360" w:lineRule="auto"/>
        <w:ind w:firstLine="540" w:firstLineChars="225"/>
        <w:outlineLvl w:val="2"/>
        <w:rPr>
          <w:rFonts w:ascii="仿宋" w:hAnsi="仿宋" w:eastAsia="仿宋"/>
          <w:color w:val="auto"/>
          <w:sz w:val="24"/>
          <w:highlight w:val="none"/>
        </w:rPr>
      </w:pPr>
      <w:r>
        <w:rPr>
          <w:rFonts w:hint="eastAsia" w:ascii="仿宋" w:hAnsi="仿宋" w:eastAsia="仿宋"/>
          <w:color w:val="auto"/>
          <w:sz w:val="24"/>
          <w:highlight w:val="none"/>
        </w:rPr>
        <w:t>无</w:t>
      </w:r>
    </w:p>
    <w:p w14:paraId="14157690">
      <w:pPr>
        <w:spacing w:line="360" w:lineRule="auto"/>
        <w:ind w:firstLine="540" w:firstLineChars="225"/>
        <w:rPr>
          <w:rFonts w:ascii="仿宋" w:hAnsi="仿宋" w:eastAsia="仿宋"/>
          <w:color w:val="auto"/>
          <w:sz w:val="24"/>
          <w:highlight w:val="none"/>
        </w:rPr>
      </w:pPr>
    </w:p>
    <w:p w14:paraId="2AFC23EC">
      <w:pPr>
        <w:spacing w:line="360" w:lineRule="auto"/>
        <w:rPr>
          <w:rFonts w:ascii="仿宋" w:hAnsi="仿宋" w:eastAsia="仿宋"/>
          <w:color w:val="auto"/>
          <w:sz w:val="24"/>
          <w:highlight w:val="none"/>
        </w:rPr>
      </w:pPr>
      <w:r>
        <w:rPr>
          <w:rFonts w:hint="eastAsia" w:ascii="仿宋" w:hAnsi="仿宋" w:eastAsia="仿宋"/>
          <w:color w:val="auto"/>
          <w:sz w:val="24"/>
          <w:highlight w:val="none"/>
        </w:rPr>
        <w:t>注：1.本章所称“重大违法记录”，是指供应商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162934B8">
      <w:pPr>
        <w:widowControl/>
        <w:jc w:val="left"/>
        <w:rPr>
          <w:rFonts w:ascii="仿宋" w:hAnsi="仿宋" w:eastAsia="仿宋" w:cstheme="minorBidi"/>
          <w:b/>
          <w:color w:val="auto"/>
          <w:sz w:val="32"/>
          <w:szCs w:val="32"/>
          <w:highlight w:val="none"/>
        </w:rPr>
      </w:pPr>
      <w:r>
        <w:rPr>
          <w:rFonts w:ascii="仿宋" w:hAnsi="仿宋" w:eastAsia="仿宋"/>
          <w:bCs/>
          <w:color w:val="auto"/>
          <w:highlight w:val="none"/>
        </w:rPr>
        <w:br w:type="page"/>
      </w:r>
    </w:p>
    <w:p w14:paraId="63499308">
      <w:pPr>
        <w:pStyle w:val="38"/>
        <w:rPr>
          <w:rFonts w:ascii="仿宋" w:hAnsi="仿宋" w:eastAsia="仿宋"/>
          <w:color w:val="auto"/>
          <w:highlight w:val="none"/>
        </w:rPr>
      </w:pPr>
      <w:bookmarkStart w:id="77" w:name="_Toc94214578"/>
      <w:r>
        <w:rPr>
          <w:rFonts w:hint="eastAsia" w:ascii="仿宋" w:hAnsi="仿宋" w:eastAsia="仿宋"/>
          <w:bCs w:val="0"/>
          <w:color w:val="auto"/>
          <w:highlight w:val="none"/>
        </w:rPr>
        <w:t>第四章  供应商应当提供的资格、资质性及其他类似效力要求的相关证明材料</w:t>
      </w:r>
      <w:bookmarkEnd w:id="77"/>
    </w:p>
    <w:p w14:paraId="20C87139">
      <w:pPr>
        <w:spacing w:line="360" w:lineRule="auto"/>
        <w:ind w:firstLine="538"/>
        <w:rPr>
          <w:rFonts w:ascii="仿宋" w:hAnsi="仿宋" w:eastAsia="仿宋"/>
          <w:color w:val="auto"/>
          <w:sz w:val="28"/>
          <w:szCs w:val="28"/>
          <w:highlight w:val="none"/>
        </w:rPr>
      </w:pPr>
    </w:p>
    <w:p w14:paraId="158A1000">
      <w:pPr>
        <w:spacing w:line="360" w:lineRule="auto"/>
        <w:ind w:firstLine="472" w:firstLineChars="196"/>
        <w:outlineLvl w:val="1"/>
        <w:rPr>
          <w:rFonts w:ascii="仿宋" w:hAnsi="仿宋" w:eastAsia="仿宋"/>
          <w:b/>
          <w:color w:val="auto"/>
          <w:sz w:val="24"/>
          <w:highlight w:val="none"/>
        </w:rPr>
      </w:pPr>
      <w:r>
        <w:rPr>
          <w:rFonts w:ascii="仿宋" w:hAnsi="仿宋" w:eastAsia="仿宋"/>
          <w:b/>
          <w:color w:val="auto"/>
          <w:sz w:val="24"/>
          <w:highlight w:val="none"/>
        </w:rPr>
        <w:t>一、</w:t>
      </w:r>
      <w:r>
        <w:rPr>
          <w:rFonts w:hint="eastAsia" w:ascii="仿宋" w:hAnsi="仿宋" w:eastAsia="仿宋"/>
          <w:b/>
          <w:color w:val="auto"/>
          <w:sz w:val="24"/>
          <w:highlight w:val="none"/>
        </w:rPr>
        <w:t>应当提供的供应商资格、资质性及其他类似效力要求的相关证明材料</w:t>
      </w:r>
    </w:p>
    <w:p w14:paraId="0D3CA2C4">
      <w:pPr>
        <w:spacing w:line="360" w:lineRule="auto"/>
        <w:ind w:firstLine="472" w:firstLineChars="196"/>
        <w:outlineLvl w:val="2"/>
        <w:rPr>
          <w:rFonts w:ascii="仿宋" w:hAnsi="仿宋" w:eastAsia="仿宋"/>
          <w:b/>
          <w:bCs/>
          <w:color w:val="auto"/>
          <w:sz w:val="24"/>
          <w:highlight w:val="none"/>
        </w:rPr>
      </w:pPr>
      <w:r>
        <w:rPr>
          <w:rFonts w:hint="eastAsia" w:ascii="仿宋" w:hAnsi="仿宋" w:eastAsia="仿宋"/>
          <w:b/>
          <w:bCs/>
          <w:color w:val="auto"/>
          <w:sz w:val="24"/>
          <w:highlight w:val="none"/>
        </w:rPr>
        <w:t>（一）资格要求相关证明材料：</w:t>
      </w:r>
    </w:p>
    <w:p w14:paraId="4B2FAFCF">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35E106EA">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2.具备良好商业信誉的证明材料（可提供承诺函，格式详见第七章）；</w:t>
      </w:r>
    </w:p>
    <w:p w14:paraId="58B71E50">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3.具备健全的财务会计制度的证明材料（可提供承诺函，格式详见第七章）；</w:t>
      </w:r>
    </w:p>
    <w:p w14:paraId="500A09C4">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4.具有依法缴纳税收和社会保障资金的良好记录（可提供承诺函，格式详见第七章）；</w:t>
      </w:r>
    </w:p>
    <w:p w14:paraId="2416F98F">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5.具备履行合同所必需的设备和专业技术能力的证明材料（可提供承诺函，格式详见第七章）；</w:t>
      </w:r>
    </w:p>
    <w:p w14:paraId="2269E469">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6.参加采购活动前3年内在经营活动中没有重大违法记录的承诺函（格式详见第七章）；</w:t>
      </w:r>
    </w:p>
    <w:p w14:paraId="608C515F">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7.具备法律、行政法规规定的其他条件的证明材料（可提供承诺函，格式详见第七章）；</w:t>
      </w:r>
    </w:p>
    <w:p w14:paraId="5274AF20">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8.根据采购项目提出的特殊条件：</w:t>
      </w:r>
    </w:p>
    <w:p w14:paraId="6D9159FA">
      <w:pPr>
        <w:pStyle w:val="60"/>
        <w:spacing w:line="420" w:lineRule="exact"/>
        <w:ind w:firstLine="48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（1）具备建设行政主管部门颁发的建筑工程施工总承包三级及以上资质。（</w:t>
      </w:r>
      <w:r>
        <w:rPr>
          <w:rFonts w:hint="eastAsia" w:ascii="仿宋" w:hAnsi="仿宋" w:eastAsia="仿宋" w:cs="仿宋"/>
          <w:color w:val="auto"/>
          <w:sz w:val="24"/>
          <w:szCs w:val="24"/>
          <w:highlight w:val="none"/>
          <w:u w:val="none"/>
          <w:lang w:val="en-US" w:eastAsia="zh-CN"/>
        </w:rPr>
        <w:t>提供证书复印件</w:t>
      </w:r>
      <w:r>
        <w:rPr>
          <w:rFonts w:hint="eastAsia" w:ascii="仿宋" w:hAnsi="仿宋" w:eastAsia="仿宋" w:cs="仿宋"/>
          <w:color w:val="auto"/>
          <w:sz w:val="24"/>
          <w:szCs w:val="24"/>
          <w:highlight w:val="none"/>
          <w:u w:val="none"/>
          <w:lang w:eastAsia="zh-CN"/>
        </w:rPr>
        <w:t>）</w:t>
      </w:r>
    </w:p>
    <w:p w14:paraId="0D58FDFF">
      <w:pPr>
        <w:pStyle w:val="60"/>
        <w:spacing w:line="420" w:lineRule="exact"/>
        <w:ind w:firstLine="48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（2）具备有效的《安全生产许可证》。（</w:t>
      </w:r>
      <w:r>
        <w:rPr>
          <w:rFonts w:hint="eastAsia" w:ascii="仿宋" w:hAnsi="仿宋" w:eastAsia="仿宋" w:cs="仿宋"/>
          <w:color w:val="auto"/>
          <w:sz w:val="24"/>
          <w:szCs w:val="24"/>
          <w:highlight w:val="none"/>
          <w:u w:val="none"/>
          <w:lang w:val="en-US" w:eastAsia="zh-CN"/>
        </w:rPr>
        <w:t>提供证书复印件</w:t>
      </w:r>
      <w:r>
        <w:rPr>
          <w:rFonts w:hint="eastAsia" w:ascii="仿宋" w:hAnsi="仿宋" w:eastAsia="仿宋" w:cs="仿宋"/>
          <w:color w:val="auto"/>
          <w:sz w:val="24"/>
          <w:szCs w:val="24"/>
          <w:highlight w:val="none"/>
          <w:u w:val="none"/>
          <w:lang w:eastAsia="zh-CN"/>
        </w:rPr>
        <w:t>）</w:t>
      </w:r>
    </w:p>
    <w:p w14:paraId="6EA162DB">
      <w:pPr>
        <w:pStyle w:val="60"/>
        <w:spacing w:line="420" w:lineRule="exact"/>
        <w:ind w:firstLine="480"/>
        <w:rPr>
          <w:rFonts w:hint="eastAsia" w:ascii="仿宋" w:hAnsi="仿宋" w:eastAsia="仿宋"/>
          <w:color w:val="auto"/>
          <w:sz w:val="24"/>
          <w:highlight w:val="none"/>
          <w:lang w:eastAsia="zh-CN"/>
        </w:rPr>
      </w:pPr>
      <w:r>
        <w:rPr>
          <w:rFonts w:hint="eastAsia" w:ascii="仿宋" w:hAnsi="仿宋" w:eastAsia="仿宋" w:cs="仿宋"/>
          <w:color w:val="auto"/>
          <w:sz w:val="24"/>
          <w:szCs w:val="24"/>
          <w:highlight w:val="none"/>
          <w:u w:val="none"/>
          <w:lang w:eastAsia="zh-CN"/>
        </w:rPr>
        <w:t>（3）如成交供应商为四川省省外企业的，在合同签订前应具备有效的《四川省省外企业入川从事建筑活动备案证》或《四川省省外建筑企业入川承揽业务验证登记证》或带二维码的《四川省省外施工、监理企业入川承揽业务信息录入证》或《四川省省外建筑企业入川信息报送电子登记表》。（</w:t>
      </w:r>
      <w:r>
        <w:rPr>
          <w:rFonts w:hint="eastAsia" w:ascii="仿宋" w:hAnsi="仿宋" w:eastAsia="仿宋" w:cs="仿宋"/>
          <w:color w:val="auto"/>
          <w:sz w:val="24"/>
          <w:szCs w:val="24"/>
          <w:highlight w:val="none"/>
          <w:u w:val="none"/>
          <w:lang w:val="en-US" w:eastAsia="zh-CN"/>
        </w:rPr>
        <w:t>如涉及提供证书复印件或承诺函</w:t>
      </w:r>
      <w:r>
        <w:rPr>
          <w:rFonts w:hint="eastAsia" w:ascii="仿宋" w:hAnsi="仿宋" w:eastAsia="仿宋" w:cs="仿宋"/>
          <w:color w:val="auto"/>
          <w:sz w:val="24"/>
          <w:szCs w:val="24"/>
          <w:highlight w:val="none"/>
          <w:u w:val="none"/>
          <w:lang w:eastAsia="zh-CN"/>
        </w:rPr>
        <w:t>）</w:t>
      </w:r>
    </w:p>
    <w:p w14:paraId="462245A2">
      <w:pPr>
        <w:spacing w:line="360" w:lineRule="auto"/>
        <w:ind w:firstLine="482"/>
        <w:outlineLvl w:val="2"/>
        <w:rPr>
          <w:rFonts w:ascii="仿宋" w:hAnsi="仿宋" w:eastAsia="仿宋"/>
          <w:b/>
          <w:bCs/>
          <w:color w:val="auto"/>
          <w:sz w:val="24"/>
          <w:highlight w:val="none"/>
        </w:rPr>
      </w:pPr>
      <w:r>
        <w:rPr>
          <w:rFonts w:hint="eastAsia" w:ascii="仿宋" w:hAnsi="仿宋" w:eastAsia="仿宋"/>
          <w:b/>
          <w:bCs/>
          <w:color w:val="auto"/>
          <w:sz w:val="24"/>
          <w:highlight w:val="none"/>
        </w:rPr>
        <w:t>（二）其他类似效力要求相关证明材料：</w:t>
      </w:r>
    </w:p>
    <w:p w14:paraId="1F9271AB">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（1）法定代表人/单位负责人身份证明材料复印件。</w:t>
      </w:r>
    </w:p>
    <w:p w14:paraId="74D9DC6C">
      <w:pPr>
        <w:spacing w:line="360" w:lineRule="auto"/>
        <w:ind w:firstLine="480"/>
        <w:rPr>
          <w:rFonts w:ascii="仿宋" w:hAnsi="仿宋" w:eastAsia="仿宋"/>
          <w:color w:val="auto"/>
          <w:sz w:val="24"/>
          <w:highlight w:val="none"/>
        </w:rPr>
      </w:pPr>
      <w:r>
        <w:rPr>
          <w:rFonts w:hint="eastAsia" w:ascii="仿宋" w:hAnsi="仿宋" w:eastAsia="仿宋"/>
          <w:color w:val="auto"/>
          <w:sz w:val="24"/>
          <w:highlight w:val="none"/>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谈判的，则可不提供。）</w:t>
      </w:r>
    </w:p>
    <w:p w14:paraId="1265700A">
      <w:pPr>
        <w:spacing w:line="360" w:lineRule="auto"/>
        <w:ind w:firstLine="480"/>
        <w:outlineLvl w:val="1"/>
        <w:rPr>
          <w:rFonts w:ascii="仿宋" w:hAnsi="仿宋" w:eastAsia="仿宋"/>
          <w:b/>
          <w:color w:val="auto"/>
          <w:sz w:val="24"/>
          <w:highlight w:val="none"/>
        </w:rPr>
      </w:pPr>
      <w:r>
        <w:rPr>
          <w:rFonts w:hint="eastAsia" w:ascii="仿宋" w:hAnsi="仿宋" w:eastAsia="仿宋"/>
          <w:b/>
          <w:color w:val="auto"/>
          <w:sz w:val="24"/>
          <w:highlight w:val="none"/>
        </w:rPr>
        <w:t>二、</w:t>
      </w:r>
      <w:r>
        <w:rPr>
          <w:rFonts w:ascii="仿宋" w:hAnsi="仿宋" w:eastAsia="仿宋"/>
          <w:b/>
          <w:color w:val="auto"/>
          <w:sz w:val="24"/>
          <w:highlight w:val="none"/>
        </w:rPr>
        <w:t>供应商</w:t>
      </w:r>
      <w:r>
        <w:rPr>
          <w:rFonts w:hint="eastAsia" w:ascii="仿宋" w:hAnsi="仿宋" w:eastAsia="仿宋"/>
          <w:b/>
          <w:color w:val="auto"/>
          <w:sz w:val="24"/>
          <w:highlight w:val="none"/>
        </w:rPr>
        <w:t>应提供的报价产品的资格、资质性及其他类似效力要求的相关证明材料</w:t>
      </w:r>
    </w:p>
    <w:p w14:paraId="03993066">
      <w:pPr>
        <w:spacing w:line="360" w:lineRule="auto"/>
        <w:ind w:firstLine="480"/>
        <w:outlineLvl w:val="1"/>
        <w:rPr>
          <w:rFonts w:ascii="仿宋" w:hAnsi="仿宋" w:eastAsia="仿宋"/>
          <w:b/>
          <w:bCs/>
          <w:color w:val="auto"/>
          <w:sz w:val="24"/>
          <w:highlight w:val="none"/>
        </w:rPr>
      </w:pPr>
      <w:r>
        <w:rPr>
          <w:rFonts w:hint="eastAsia" w:ascii="仿宋" w:hAnsi="仿宋" w:eastAsia="仿宋"/>
          <w:b/>
          <w:bCs/>
          <w:color w:val="auto"/>
          <w:sz w:val="24"/>
          <w:highlight w:val="none"/>
        </w:rPr>
        <w:t>无</w:t>
      </w:r>
    </w:p>
    <w:p w14:paraId="55B8D024">
      <w:pPr>
        <w:spacing w:line="360" w:lineRule="auto"/>
        <w:rPr>
          <w:rFonts w:ascii="仿宋" w:hAnsi="仿宋" w:eastAsia="仿宋"/>
          <w:b/>
          <w:bCs/>
          <w:color w:val="auto"/>
          <w:sz w:val="24"/>
          <w:highlight w:val="none"/>
        </w:rPr>
      </w:pPr>
      <w:r>
        <w:rPr>
          <w:rFonts w:hint="eastAsia" w:ascii="仿宋" w:hAnsi="仿宋" w:eastAsia="仿宋"/>
          <w:b/>
          <w:bCs/>
          <w:color w:val="auto"/>
          <w:sz w:val="24"/>
          <w:highlight w:val="none"/>
        </w:rPr>
        <w:t>注：1.以上要求供应商提供的资料复印件均须加盖供应商单位的公章（鲜章）。</w:t>
      </w:r>
    </w:p>
    <w:p w14:paraId="5FF96C3B">
      <w:pPr>
        <w:pStyle w:val="38"/>
        <w:rPr>
          <w:rFonts w:ascii="仿宋" w:hAnsi="仿宋" w:eastAsia="仿宋"/>
          <w:color w:val="auto"/>
          <w:highlight w:val="none"/>
        </w:rPr>
      </w:pPr>
      <w:r>
        <w:rPr>
          <w:rFonts w:ascii="仿宋" w:hAnsi="仿宋" w:eastAsia="仿宋"/>
          <w:color w:val="auto"/>
          <w:highlight w:val="none"/>
        </w:rPr>
        <w:br w:type="page"/>
      </w:r>
      <w:bookmarkStart w:id="78" w:name="_Toc94214579"/>
      <w:r>
        <w:rPr>
          <w:rFonts w:hint="eastAsia" w:ascii="仿宋" w:hAnsi="仿宋" w:eastAsia="仿宋"/>
          <w:color w:val="auto"/>
          <w:highlight w:val="none"/>
        </w:rPr>
        <w:t>第五章  采购项目技术、服务、采购合同内容条款</w:t>
      </w:r>
      <w:r>
        <w:rPr>
          <w:rFonts w:ascii="仿宋" w:hAnsi="仿宋" w:eastAsia="仿宋"/>
          <w:color w:val="auto"/>
          <w:highlight w:val="none"/>
        </w:rPr>
        <w:br w:type="textWrapping"/>
      </w:r>
      <w:r>
        <w:rPr>
          <w:rFonts w:hint="eastAsia" w:ascii="仿宋" w:hAnsi="仿宋" w:eastAsia="仿宋"/>
          <w:color w:val="auto"/>
          <w:highlight w:val="none"/>
        </w:rPr>
        <w:t>及其他商务要求</w:t>
      </w:r>
      <w:bookmarkEnd w:id="78"/>
    </w:p>
    <w:p w14:paraId="0E08ADD4">
      <w:pPr>
        <w:spacing w:line="360" w:lineRule="auto"/>
        <w:jc w:val="left"/>
        <w:rPr>
          <w:rFonts w:ascii="仿宋" w:hAnsi="仿宋" w:eastAsia="仿宋"/>
          <w:b/>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 xml:space="preserve">  </w:t>
      </w:r>
    </w:p>
    <w:p w14:paraId="4EB21692">
      <w:pPr>
        <w:spacing w:line="400" w:lineRule="exact"/>
        <w:ind w:firstLine="482" w:firstLineChars="200"/>
        <w:rPr>
          <w:rFonts w:ascii="仿宋" w:hAnsi="仿宋" w:eastAsia="仿宋"/>
          <w:b/>
          <w:color w:val="auto"/>
          <w:sz w:val="24"/>
          <w:highlight w:val="none"/>
        </w:rPr>
      </w:pPr>
      <w:r>
        <w:rPr>
          <w:rFonts w:hint="eastAsia" w:ascii="仿宋" w:hAnsi="仿宋" w:eastAsia="仿宋"/>
          <w:b/>
          <w:color w:val="auto"/>
          <w:sz w:val="24"/>
          <w:highlight w:val="none"/>
        </w:rPr>
        <w:t>前提：</w:t>
      </w:r>
      <w:r>
        <w:rPr>
          <w:rFonts w:ascii="仿宋" w:hAnsi="仿宋" w:eastAsia="仿宋"/>
          <w:b/>
          <w:color w:val="auto"/>
          <w:sz w:val="24"/>
          <w:highlight w:val="none"/>
        </w:rPr>
        <w:t>本章采购需求中标注“</w:t>
      </w:r>
      <w:r>
        <w:rPr>
          <w:rFonts w:hint="eastAsia" w:ascii="仿宋" w:hAnsi="仿宋" w:eastAsia="仿宋"/>
          <w:b/>
          <w:color w:val="auto"/>
          <w:sz w:val="24"/>
          <w:highlight w:val="none"/>
        </w:rPr>
        <w:t>★</w:t>
      </w:r>
      <w:r>
        <w:rPr>
          <w:rFonts w:ascii="仿宋" w:hAnsi="仿宋" w:eastAsia="仿宋"/>
          <w:b/>
          <w:color w:val="auto"/>
          <w:sz w:val="24"/>
          <w:highlight w:val="none"/>
        </w:rPr>
        <w:t>”号的条款为本次谈判采购项目的实质性要求，供应商应全部满足。</w:t>
      </w:r>
    </w:p>
    <w:p w14:paraId="03D9E04D">
      <w:pPr>
        <w:spacing w:line="360" w:lineRule="auto"/>
        <w:ind w:left="-2" w:leftChars="-1" w:firstLine="426" w:firstLineChars="177"/>
        <w:rPr>
          <w:rFonts w:ascii="仿宋" w:hAnsi="仿宋" w:eastAsia="仿宋" w:cs="仿宋"/>
          <w:b/>
          <w:color w:val="auto"/>
          <w:sz w:val="24"/>
          <w:highlight w:val="none"/>
        </w:rPr>
      </w:pPr>
    </w:p>
    <w:p w14:paraId="1EB1F91D">
      <w:pPr>
        <w:spacing w:line="360" w:lineRule="auto"/>
        <w:ind w:left="-2" w:leftChars="-1" w:firstLine="426" w:firstLineChars="177"/>
        <w:rPr>
          <w:rFonts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1.技术要求</w:t>
      </w:r>
    </w:p>
    <w:tbl>
      <w:tblPr>
        <w:tblStyle w:val="41"/>
        <w:tblW w:w="8919"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805"/>
      </w:tblGrid>
      <w:tr w14:paraId="5CA5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14" w:type="dxa"/>
            <w:noWrap w:val="0"/>
            <w:vAlign w:val="center"/>
          </w:tcPr>
          <w:p w14:paraId="76A0CED7">
            <w:pPr>
              <w:adjustRightInd w:val="0"/>
              <w:snapToGrid w:val="0"/>
              <w:spacing w:line="3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工程量清单、图纸</w:t>
            </w:r>
          </w:p>
        </w:tc>
        <w:tc>
          <w:tcPr>
            <w:tcW w:w="6805" w:type="dxa"/>
            <w:noWrap w:val="0"/>
            <w:vAlign w:val="center"/>
          </w:tcPr>
          <w:p w14:paraId="4BF68AE4">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本项目无图纸，具体工程内容以工程量清单为准。</w:t>
            </w:r>
          </w:p>
        </w:tc>
      </w:tr>
      <w:tr w14:paraId="45DE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14" w:type="dxa"/>
            <w:noWrap w:val="0"/>
            <w:vAlign w:val="center"/>
          </w:tcPr>
          <w:p w14:paraId="503320E2">
            <w:pPr>
              <w:adjustRightInd w:val="0"/>
              <w:snapToGrid w:val="0"/>
              <w:spacing w:line="3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工程质量要求</w:t>
            </w:r>
          </w:p>
        </w:tc>
        <w:tc>
          <w:tcPr>
            <w:tcW w:w="6805" w:type="dxa"/>
            <w:noWrap w:val="0"/>
            <w:vAlign w:val="center"/>
          </w:tcPr>
          <w:p w14:paraId="2BCC0B1C">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1.工程质量达到国家现行《建筑工程施工质量验收统一标准》（GB50300-2013）</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《建筑与市政工程施工质量控制通用规范》（GB55032-2022）合格标准，满足本项目工程量清单、项目特征、工程量清单编制说明要求。</w:t>
            </w:r>
          </w:p>
          <w:p w14:paraId="59176620">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2.供应商所投材料及产品须满足国家标准要求，并且是全新的、未使用过的合格产品。</w:t>
            </w:r>
          </w:p>
          <w:p w14:paraId="0F11A1EB">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（说明：以上两项供应商提供承诺函原件并加盖供应商公章，承诺函格式自拟）</w:t>
            </w:r>
          </w:p>
        </w:tc>
      </w:tr>
      <w:tr w14:paraId="0E18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14" w:type="dxa"/>
            <w:noWrap w:val="0"/>
            <w:vAlign w:val="center"/>
          </w:tcPr>
          <w:p w14:paraId="4A210691">
            <w:pPr>
              <w:adjustRightInd w:val="0"/>
              <w:snapToGrid w:val="0"/>
              <w:spacing w:line="3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材料及技术规范要求</w:t>
            </w:r>
          </w:p>
        </w:tc>
        <w:tc>
          <w:tcPr>
            <w:tcW w:w="6805" w:type="dxa"/>
            <w:noWrap w:val="0"/>
            <w:vAlign w:val="center"/>
          </w:tcPr>
          <w:p w14:paraId="349A15A8">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rPr>
              <w:t>工程材料由供应商负责采购。供应商为本项目提供的所有材料应符合现行的强制性国家相关标准、行业标准或工程所在地的地方性标准，以及相应规范、规程等。</w:t>
            </w:r>
          </w:p>
          <w:p w14:paraId="63FD3E55">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2.供应商为本项目提供的所有材料中属于《国家强制性产品认证目录》范围内产品的，均通过国家强制性产品认证并取得认证证书。</w:t>
            </w:r>
          </w:p>
          <w:p w14:paraId="45F6A4C1">
            <w:pPr>
              <w:pStyle w:val="2"/>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3.供应商为本项目提供的所有产品中属于节能产品政府采购品目清单中的政府强制采购产品的，均具有国家确定的认证机构出具的有效期内的节能产品认证证书。</w:t>
            </w:r>
          </w:p>
          <w:p w14:paraId="663EDB70">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（说明：以上3项供应商提供承诺函原件并加盖供应商公章，承诺函格式自拟）</w:t>
            </w:r>
          </w:p>
        </w:tc>
      </w:tr>
      <w:tr w14:paraId="5542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14" w:type="dxa"/>
            <w:noWrap w:val="0"/>
            <w:vAlign w:val="center"/>
          </w:tcPr>
          <w:p w14:paraId="7BC5D131">
            <w:pPr>
              <w:adjustRightInd w:val="0"/>
              <w:snapToGrid w:val="0"/>
              <w:spacing w:line="3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工程安全要求</w:t>
            </w:r>
          </w:p>
        </w:tc>
        <w:tc>
          <w:tcPr>
            <w:tcW w:w="6805" w:type="dxa"/>
            <w:noWrap w:val="0"/>
            <w:vAlign w:val="center"/>
          </w:tcPr>
          <w:p w14:paraId="42129A42">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1.工程在运输、安装、调试、施工等整个工程活动期间，在工程实施地点范围内，高空作业、道路运输等所有安全责任由供应商负责，并承担全部责任。</w:t>
            </w:r>
          </w:p>
          <w:p w14:paraId="2F41BE42">
            <w:pPr>
              <w:adjustRightInd w:val="0"/>
              <w:snapToGrid w:val="0"/>
              <w:spacing w:line="320" w:lineRule="exact"/>
              <w:jc w:val="left"/>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2.供应商按有关规定，采取严格的安全措施，承担由于自身安全措施不力造成事故的赔偿等责任和因此发生的费用；非供应商责任造成的伤亡事故，由责任方承担责任和有关费用。</w:t>
            </w:r>
          </w:p>
          <w:p w14:paraId="3D67E353">
            <w:pPr>
              <w:adjustRightInd w:val="0"/>
              <w:snapToGrid w:val="0"/>
              <w:spacing w:line="320" w:lineRule="exact"/>
              <w:jc w:val="left"/>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3.发生重大伤亡事故，供应商应按有关规定立即上报有关部门并通知采购人，同时按政府有关部门要求处理。采购人为供应商的抢救工作提供必要条件。因处理伤亡事故产生的费用由事故责任方承担。</w:t>
            </w:r>
          </w:p>
          <w:p w14:paraId="26AEBDB8">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4.供应商在动力设备、高电压线路、地下管道、密封防震车间、易燃易爆地段以及临时交通要道附近施工前，应向采购人提出安全保护措施，经监理和采购人批准后实施。</w:t>
            </w:r>
          </w:p>
          <w:p w14:paraId="776E1041">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供应商应制定突发事件处理预案，施工现场发生事故，供应商应立即响应，如未及时赶到处理相关事故、所造成的全部损失、责任由供应商承担。因供应商原因发生安全事故的，供应商除应承担赔偿责任外，采购人有权解除本项目合同，采购人不予退还供应商履约保证金，并要求供应商按本项目合同总款百分之十支付违约金。</w:t>
            </w:r>
          </w:p>
          <w:p w14:paraId="78AD2E66">
            <w:pPr>
              <w:pStyle w:val="2"/>
              <w:snapToGrid w:val="0"/>
              <w:contextualSpacing/>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（说明：以上五项供应商需提供承诺函原件并加盖供应商公章，承诺函格式自拟）</w:t>
            </w:r>
          </w:p>
        </w:tc>
      </w:tr>
      <w:tr w14:paraId="389B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14" w:type="dxa"/>
            <w:noWrap w:val="0"/>
            <w:vAlign w:val="center"/>
          </w:tcPr>
          <w:p w14:paraId="5264F7F7">
            <w:pPr>
              <w:adjustRightInd w:val="0"/>
              <w:snapToGrid w:val="0"/>
              <w:spacing w:line="3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缺陷责任期要求</w:t>
            </w:r>
          </w:p>
        </w:tc>
        <w:tc>
          <w:tcPr>
            <w:tcW w:w="6805" w:type="dxa"/>
            <w:noWrap w:val="0"/>
            <w:vAlign w:val="center"/>
          </w:tcPr>
          <w:p w14:paraId="565AEC6E">
            <w:pPr>
              <w:adjustRightInd w:val="0"/>
              <w:snapToGrid w:val="0"/>
              <w:spacing w:line="32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本工程缺陷责任期为2年</w:t>
            </w:r>
          </w:p>
        </w:tc>
      </w:tr>
      <w:tr w14:paraId="3833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14" w:type="dxa"/>
            <w:noWrap w:val="0"/>
            <w:vAlign w:val="center"/>
          </w:tcPr>
          <w:p w14:paraId="3F018D54">
            <w:pPr>
              <w:adjustRightInd w:val="0"/>
              <w:snapToGrid w:val="0"/>
              <w:spacing w:line="3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价格调整要求</w:t>
            </w:r>
          </w:p>
        </w:tc>
        <w:tc>
          <w:tcPr>
            <w:tcW w:w="6805" w:type="dxa"/>
            <w:noWrap w:val="0"/>
            <w:vAlign w:val="center"/>
          </w:tcPr>
          <w:p w14:paraId="16DC48D2">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报价要求：</w:t>
            </w:r>
          </w:p>
          <w:p w14:paraId="4F3BF706">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1.本项目采用工程量清单综合单价法报价。</w:t>
            </w:r>
          </w:p>
          <w:p w14:paraId="51A57323">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2.本工程所有工程项目的工作内容应包含清单计价规范所列出的工作内容 （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 </w:t>
            </w:r>
          </w:p>
          <w:p w14:paraId="25271938">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采购过程中，供应商应以工程量清单的项目特征描述为准，填报响应报价的综合单价；当施工中出现需求变更与工程量清单项目特征描述不一致时，采购人、成交供应商双方应按实际施工的项目特征依据合同约定重新确定综合单价。 </w:t>
            </w:r>
          </w:p>
          <w:p w14:paraId="361093A9">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4.工程量清单中所列工程量仅作为供应商响应报价的共同基础，不能作为最终结算与支付的依据。最终结算以采购人与供应商共同确认的工程量为准。</w:t>
            </w:r>
          </w:p>
          <w:p w14:paraId="63D91276">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5.采购人保留取消工程量清单中某些项目的权利。供应商须充分考虑此风险，在总价措施项目清单计价表相应项目中综合考虑，成交后不得以此作为理由提出任何形式的索赔和调整造价。</w:t>
            </w:r>
          </w:p>
          <w:p w14:paraId="5D5DCC96">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6.工程清单中销项增值税额采购时按统一费率计取，结算时以施工单位实际费率计算。</w:t>
            </w:r>
          </w:p>
        </w:tc>
      </w:tr>
      <w:tr w14:paraId="0DFF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14" w:type="dxa"/>
            <w:noWrap w:val="0"/>
            <w:vAlign w:val="center"/>
          </w:tcPr>
          <w:p w14:paraId="41C8D190">
            <w:pPr>
              <w:adjustRightInd w:val="0"/>
              <w:snapToGrid w:val="0"/>
              <w:spacing w:line="32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漏项工程处理</w:t>
            </w:r>
          </w:p>
        </w:tc>
        <w:tc>
          <w:tcPr>
            <w:tcW w:w="6805" w:type="dxa"/>
            <w:noWrap w:val="0"/>
            <w:vAlign w:val="center"/>
          </w:tcPr>
          <w:p w14:paraId="2C1351A3">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过程中，发现工程量清单存在漏项工程的，该漏项工程作为本项目采购需求的组成部分，使用暂列金支付；暂列金已使用完毕的，采购人和供应商可以参照《中华人民共和国政府采购法》的规定签订不超过成交金额百分之十的补充合同。</w:t>
            </w:r>
          </w:p>
          <w:p w14:paraId="6132DDC5">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（2）变更估价的约定：除合同另有规定外，工程变更、设计变更、工程量清单漏项、新增项目的单价确定，按下列方法进行：</w:t>
            </w:r>
          </w:p>
          <w:p w14:paraId="4843683A">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A．工程量清单中已有适用于变更工程的价格，按工程量清单中已有的价格确定。</w:t>
            </w:r>
          </w:p>
          <w:p w14:paraId="764EED6C">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B．工程量清单中只有类似于变更工程的价格，可参照类似价格确定。</w:t>
            </w:r>
          </w:p>
          <w:p w14:paraId="54294314">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类似清单子目单价调整方式：</w:t>
            </w:r>
          </w:p>
          <w:p w14:paraId="094ED89A">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供应商协商并报采购人同意后确定变更后的单价或合价；</w:t>
            </w:r>
          </w:p>
          <w:p w14:paraId="2D950FBF">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工程量清单报价中没有适用或类似于变更工程的价格，则按《四川省建设工程工程量清单计价定额》（2020版）及配套文件的相关规定计算出该项目的综合单价后，按本工程扣除暂列金后的招标控制价与扣除暂列金后的供应商总报价总价同比例下浮（主要材料除外），确定为该项目或漏项的最终结算综合单价。</w:t>
            </w:r>
          </w:p>
        </w:tc>
      </w:tr>
    </w:tbl>
    <w:p w14:paraId="3E6E96E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★2.商务要求</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7058"/>
      </w:tblGrid>
      <w:tr w14:paraId="5869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noWrap w:val="0"/>
            <w:vAlign w:val="center"/>
          </w:tcPr>
          <w:p w14:paraId="72DF6B06">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工期（含入场时间）</w:t>
            </w:r>
          </w:p>
        </w:tc>
        <w:tc>
          <w:tcPr>
            <w:tcW w:w="0" w:type="auto"/>
            <w:noWrap w:val="0"/>
            <w:vAlign w:val="top"/>
          </w:tcPr>
          <w:p w14:paraId="5443CF70">
            <w:pPr>
              <w:adjustRightInd w:val="0"/>
              <w:snapToGrid w:val="0"/>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供应商接到采购人书面通知(开工令)后开工，自收到开工令后</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个日历天内竣工。</w:t>
            </w:r>
          </w:p>
        </w:tc>
      </w:tr>
      <w:tr w14:paraId="49E1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noWrap w:val="0"/>
            <w:vAlign w:val="center"/>
          </w:tcPr>
          <w:p w14:paraId="06E3D41C">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工程地点（范围）</w:t>
            </w:r>
          </w:p>
        </w:tc>
        <w:tc>
          <w:tcPr>
            <w:tcW w:w="0" w:type="auto"/>
            <w:noWrap w:val="0"/>
            <w:vAlign w:val="center"/>
          </w:tcPr>
          <w:p w14:paraId="3E14C13F">
            <w:pPr>
              <w:adjustRightInd w:val="0"/>
              <w:snapToGrid w:val="0"/>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四川省成都市成华区槐树店路32号</w:t>
            </w:r>
          </w:p>
        </w:tc>
      </w:tr>
      <w:tr w14:paraId="65DF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0" w:type="auto"/>
            <w:noWrap w:val="0"/>
            <w:vAlign w:val="center"/>
          </w:tcPr>
          <w:p w14:paraId="57AD7D72">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付款进度安排、资金支付方式</w:t>
            </w:r>
          </w:p>
        </w:tc>
        <w:tc>
          <w:tcPr>
            <w:tcW w:w="0" w:type="auto"/>
            <w:noWrap w:val="0"/>
            <w:vAlign w:val="center"/>
          </w:tcPr>
          <w:p w14:paraId="336F0A66">
            <w:pPr>
              <w:snapToGrid w:val="0"/>
              <w:contextualSpacing/>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1.工程款分两次银行转账支付</w:t>
            </w:r>
            <w:r>
              <w:rPr>
                <w:rFonts w:hint="eastAsia" w:ascii="仿宋" w:hAnsi="仿宋" w:eastAsia="仿宋" w:cs="仿宋"/>
                <w:color w:val="auto"/>
                <w:sz w:val="24"/>
                <w:szCs w:val="24"/>
                <w:highlight w:val="none"/>
              </w:rPr>
              <w:t>。</w:t>
            </w:r>
          </w:p>
          <w:p w14:paraId="7DC4406B">
            <w:pPr>
              <w:snapToGrid w:val="0"/>
              <w:ind w:firstLine="241" w:firstLineChars="100"/>
              <w:contextualSpacing/>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第一次支付：</w:t>
            </w:r>
            <w:r>
              <w:rPr>
                <w:rFonts w:hint="eastAsia" w:ascii="仿宋" w:hAnsi="仿宋" w:eastAsia="仿宋" w:cs="仿宋"/>
                <w:color w:val="auto"/>
                <w:sz w:val="24"/>
                <w:szCs w:val="24"/>
                <w:highlight w:val="none"/>
              </w:rPr>
              <w:t>本工程合同签订之后，采购人自收到供应商出具合法有效完整的等额完税发票之日起 10个工作日内向供应商支付（合同价减暂列金）40%的合同款。</w:t>
            </w:r>
          </w:p>
          <w:p w14:paraId="0CC2E2ED">
            <w:pPr>
              <w:snapToGrid w:val="0"/>
              <w:ind w:firstLine="241" w:firstLineChars="100"/>
              <w:contextualSpacing/>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第二次支付：</w:t>
            </w:r>
          </w:p>
          <w:p w14:paraId="7D98A42B">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竣工且经采购人验收合格后，供应商将结算资料整理后提交采购人，采购人及供应商双方共同确认工程结算价，最终以采购人确认的第三方审核机构出具的竣工结算审核报告为准。采购人自收到供应商提供有效增值税发票及请款报告后10个</w:t>
            </w:r>
            <w:r>
              <w:rPr>
                <w:rStyle w:val="49"/>
                <w:rFonts w:hint="eastAsia" w:ascii="仿宋" w:hAnsi="仿宋" w:eastAsia="仿宋" w:cs="仿宋"/>
                <w:color w:val="auto"/>
                <w:sz w:val="24"/>
                <w:szCs w:val="24"/>
                <w:highlight w:val="none"/>
              </w:rPr>
              <w:t>工作日</w:t>
            </w:r>
            <w:r>
              <w:rPr>
                <w:rFonts w:hint="eastAsia" w:ascii="仿宋" w:hAnsi="仿宋" w:eastAsia="仿宋" w:cs="仿宋"/>
                <w:color w:val="auto"/>
                <w:sz w:val="24"/>
                <w:szCs w:val="24"/>
                <w:highlight w:val="none"/>
              </w:rPr>
              <w:t xml:space="preserve">内，支付至结算价的100%。 </w:t>
            </w:r>
          </w:p>
          <w:p w14:paraId="0EF87022">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2.供应商应自行优先支付工人工资和材料款，采购人不承担由于供应商未付工人工资或材料款引起的一切法律责任和纠纷。</w:t>
            </w:r>
          </w:p>
          <w:p w14:paraId="3A84396A">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3.供应商未提供有效增值税发票（普票）及请款报告的，采购人有权拒付，且不承担逾期付款的责任。</w:t>
            </w:r>
          </w:p>
        </w:tc>
      </w:tr>
      <w:tr w14:paraId="0EAA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noWrap w:val="0"/>
            <w:vAlign w:val="center"/>
          </w:tcPr>
          <w:p w14:paraId="10D4B5DB">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包装和运输要求</w:t>
            </w:r>
          </w:p>
        </w:tc>
        <w:tc>
          <w:tcPr>
            <w:tcW w:w="0" w:type="auto"/>
            <w:noWrap w:val="0"/>
            <w:vAlign w:val="center"/>
          </w:tcPr>
          <w:p w14:paraId="453B91CF">
            <w:pPr>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本工程项目实施涉及的商品包装和快递包装，均符合财政部等三部门联合印发商品包装和快递包装政府采购需求标准（试行）（财办库[2020]123号）的要求。包装应适应于远距离运输、防潮、防震、防锈和防野蛮装卸，以确保货物安全无损运抵指定地点。货物在运输途中毁损灭失的风险均由供应商承担。</w:t>
            </w:r>
            <w:r>
              <w:rPr>
                <w:rFonts w:hint="eastAsia" w:ascii="仿宋" w:hAnsi="仿宋" w:eastAsia="仿宋" w:cs="仿宋"/>
                <w:b/>
                <w:bCs/>
                <w:color w:val="auto"/>
                <w:sz w:val="24"/>
                <w:szCs w:val="24"/>
                <w:highlight w:val="none"/>
              </w:rPr>
              <w:t>（说明：供应商提供承诺函原件并加盖供应商公章，</w:t>
            </w:r>
            <w:r>
              <w:rPr>
                <w:rFonts w:hint="eastAsia" w:ascii="仿宋" w:hAnsi="仿宋" w:eastAsia="仿宋" w:cs="仿宋"/>
                <w:b/>
                <w:color w:val="auto"/>
                <w:sz w:val="24"/>
                <w:szCs w:val="24"/>
                <w:highlight w:val="none"/>
              </w:rPr>
              <w:t>承诺函格式自拟</w:t>
            </w:r>
            <w:r>
              <w:rPr>
                <w:rFonts w:hint="eastAsia" w:ascii="仿宋" w:hAnsi="仿宋" w:eastAsia="仿宋" w:cs="仿宋"/>
                <w:color w:val="auto"/>
                <w:sz w:val="24"/>
                <w:szCs w:val="24"/>
                <w:highlight w:val="none"/>
              </w:rPr>
              <w:t>）</w:t>
            </w:r>
          </w:p>
        </w:tc>
      </w:tr>
      <w:tr w14:paraId="1E5B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noWrap w:val="0"/>
            <w:vAlign w:val="center"/>
          </w:tcPr>
          <w:p w14:paraId="766A9DC6">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售后服务要求</w:t>
            </w:r>
            <w:bookmarkStart w:id="79" w:name="星号售后服务要求"/>
            <w:bookmarkEnd w:id="79"/>
          </w:p>
        </w:tc>
        <w:tc>
          <w:tcPr>
            <w:tcW w:w="0" w:type="auto"/>
            <w:noWrap w:val="0"/>
            <w:vAlign w:val="center"/>
          </w:tcPr>
          <w:p w14:paraId="6808FA62">
            <w:pPr>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质保期内应提供售后服务和技术支持服务。</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需提供电话和上门两种服务模式，电话30分钟内响应，紧急上门抢修需6小时内到达，其他上门维修需2个日历天内到达。</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不在约定期限内派人保修的，</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可委托他人修理，除发生的费用从质保金中扣除外，</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还有权每次从质保金中扣除1000元作为违约金。质保金不足以支付上述费用时，由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进行补足。</w:t>
            </w:r>
          </w:p>
        </w:tc>
      </w:tr>
      <w:tr w14:paraId="3BF9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0" w:type="auto"/>
            <w:noWrap w:val="0"/>
            <w:vAlign w:val="center"/>
          </w:tcPr>
          <w:p w14:paraId="59CB87B7">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人员配置要求（人数、专业、证书等要求）</w:t>
            </w:r>
          </w:p>
        </w:tc>
        <w:tc>
          <w:tcPr>
            <w:tcW w:w="0" w:type="auto"/>
            <w:noWrap w:val="0"/>
            <w:vAlign w:val="center"/>
          </w:tcPr>
          <w:p w14:paraId="55D16B7B">
            <w:pPr>
              <w:adjustRightInd w:val="0"/>
              <w:snapToGrid w:val="0"/>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1.项目经理：具备建筑工程专业二级或以上建造师执业资格证书及注册证书，具备有效的安全生产考核合格证书（B证）；项目技术负责人具备建筑工程相关专业中级或以上职称。</w:t>
            </w:r>
          </w:p>
          <w:p w14:paraId="78E9EC0E">
            <w:pPr>
              <w:adjustRightInd w:val="0"/>
              <w:snapToGrid w:val="0"/>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注：提供项目经理的执业资格证书、注册证、安全生产考核合格证书（B证）复印件及在职证明，提供项目技术负责人的职称证书复印件及在职证明。以上材料需加盖供应商公章。</w:t>
            </w:r>
          </w:p>
          <w:p w14:paraId="247F1BA0">
            <w:pPr>
              <w:adjustRightInd w:val="0"/>
              <w:snapToGrid w:val="0"/>
              <w:spacing w:line="32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2.除项目经理、技术负责人以外，项目至少需配置安全员（安全员需具备安全生产考核合格证C证）、施工员、资料员</w:t>
            </w:r>
            <w:r>
              <w:rPr>
                <w:rFonts w:hint="eastAsia" w:ascii="仿宋" w:hAnsi="仿宋" w:eastAsia="仿宋" w:cs="仿宋"/>
                <w:color w:val="auto"/>
                <w:sz w:val="24"/>
                <w:szCs w:val="24"/>
                <w:highlight w:val="none"/>
                <w:lang w:val="en-US" w:eastAsia="zh-CN"/>
              </w:rPr>
              <w:t>各一名</w:t>
            </w:r>
            <w:r>
              <w:rPr>
                <w:rFonts w:hint="eastAsia" w:ascii="仿宋" w:hAnsi="仿宋" w:eastAsia="仿宋" w:cs="仿宋"/>
                <w:color w:val="auto"/>
                <w:sz w:val="24"/>
                <w:szCs w:val="24"/>
                <w:highlight w:val="none"/>
              </w:rPr>
              <w:t>。需提供相关证书复印件及在职证明并加盖供应商公章。</w:t>
            </w:r>
          </w:p>
        </w:tc>
      </w:tr>
      <w:tr w14:paraId="0AAD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0" w:type="auto"/>
            <w:noWrap w:val="0"/>
            <w:vAlign w:val="center"/>
          </w:tcPr>
          <w:p w14:paraId="41B24385">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保险要求</w:t>
            </w:r>
          </w:p>
        </w:tc>
        <w:tc>
          <w:tcPr>
            <w:tcW w:w="0" w:type="auto"/>
            <w:noWrap w:val="0"/>
            <w:vAlign w:val="center"/>
          </w:tcPr>
          <w:p w14:paraId="70231F58">
            <w:pPr>
              <w:adjustRightInd w:val="0"/>
              <w:snapToGrid w:val="0"/>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供应商应自行为工作人员购买保险。供应商未提供劳动合同、未为本项目工作人员缴纳社会保险而影响本项目施工进度或为采购人的正常管理工作带来不便的，供应商应承担相应责任。</w:t>
            </w:r>
          </w:p>
          <w:p w14:paraId="49F83306">
            <w:pPr>
              <w:pStyle w:val="2"/>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（说明：供应商提供承诺函原件并加盖供应商公章，承诺函格式自拟）</w:t>
            </w:r>
          </w:p>
        </w:tc>
      </w:tr>
      <w:tr w14:paraId="6AC5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0" w:type="auto"/>
            <w:noWrap w:val="0"/>
            <w:vAlign w:val="center"/>
          </w:tcPr>
          <w:p w14:paraId="33E66103">
            <w:pPr>
              <w:adjustRightInd w:val="0"/>
              <w:snapToGrid w:val="0"/>
              <w:spacing w:line="32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其他商务要求</w:t>
            </w:r>
          </w:p>
        </w:tc>
        <w:tc>
          <w:tcPr>
            <w:tcW w:w="0" w:type="auto"/>
            <w:noWrap w:val="0"/>
            <w:vAlign w:val="center"/>
          </w:tcPr>
          <w:p w14:paraId="28FDAF73">
            <w:pPr>
              <w:pStyle w:val="2"/>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1.对施工现场交通和噪音的要求：遵守地方政府和有关部门对施工场地交通和施工噪音等管理规定。施工单位应尽量减小施工对教学秩序的影响。</w:t>
            </w:r>
          </w:p>
          <w:p w14:paraId="7770067F">
            <w:pPr>
              <w:pStyle w:val="2"/>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2.施工场地整洁卫生的要求：供应商保证施工现场清洁。</w:t>
            </w:r>
          </w:p>
          <w:p w14:paraId="20EECE9C">
            <w:pPr>
              <w:pStyle w:val="2"/>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护建筑物结构及相应管线和设备的措施：供应商造成学校管网、电缆、树木、构筑物、室内设备等损坏的，要在采购人规定期限内进行修复，无法修复的除照价赔偿外，还需要向采购人偿付合同总金额的百分之五的违约金。</w:t>
            </w:r>
          </w:p>
          <w:p w14:paraId="27BDAC10">
            <w:pPr>
              <w:pStyle w:val="2"/>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4.供应商提供的主要材料设备应在使用前向采购人提供建筑材料样品、产品合格证书，否则不得使用；竣工时建筑材料的产品合格证书作为结算资料一并提交采购人。</w:t>
            </w:r>
          </w:p>
          <w:p w14:paraId="5558AC7D">
            <w:pPr>
              <w:pStyle w:val="2"/>
              <w:snapToGrid w:val="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5.供应商在项目执行过程中定期向采购人通告本项目供货的重大事项及其进度。</w:t>
            </w:r>
          </w:p>
          <w:p w14:paraId="7F99A8B1">
            <w:pPr>
              <w:pStyle w:val="2"/>
              <w:snapToGrid w:val="0"/>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6.除不可抗力等因素外，成交通知书发出后，成交供应商拒绝与采购人签订合同的，采购人可以确定下一成交候选供应商为成交供应商，也可以重新组织采购活动。</w:t>
            </w:r>
          </w:p>
          <w:p w14:paraId="212357E2">
            <w:pPr>
              <w:pStyle w:val="2"/>
              <w:snapToGrid w:val="0"/>
              <w:ind w:firstLine="0" w:firstLineChars="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施工完成后，竣工验收前，供应商提供有资质的空气检测单位出具的室内空气检测合格报告，费用应含在本次报价中。</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说明：供应商提供承诺函原件并加盖鲜章。</w:t>
            </w:r>
            <w:r>
              <w:rPr>
                <w:rFonts w:hint="eastAsia" w:ascii="仿宋" w:hAnsi="仿宋" w:eastAsia="仿宋" w:cs="仿宋"/>
                <w:color w:val="auto"/>
                <w:sz w:val="24"/>
                <w:szCs w:val="24"/>
                <w:highlight w:val="none"/>
                <w:lang w:eastAsia="zh-CN"/>
              </w:rPr>
              <w:t>）</w:t>
            </w:r>
          </w:p>
        </w:tc>
      </w:tr>
    </w:tbl>
    <w:p w14:paraId="088B2BC3">
      <w:pPr>
        <w:spacing w:line="360" w:lineRule="auto"/>
        <w:ind w:firstLine="482" w:firstLineChars="200"/>
        <w:contextualSpacing/>
        <w:rPr>
          <w:rFonts w:ascii="仿宋" w:hAnsi="仿宋" w:eastAsia="仿宋" w:cs="仿宋"/>
          <w:color w:val="auto"/>
          <w:sz w:val="24"/>
          <w:highlight w:val="none"/>
        </w:rPr>
      </w:pPr>
      <w:r>
        <w:rPr>
          <w:rFonts w:hint="eastAsia" w:ascii="仿宋" w:hAnsi="仿宋" w:eastAsia="仿宋" w:cs="仿宋"/>
          <w:b/>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.履约验收要求：</w:t>
      </w:r>
    </w:p>
    <w:p w14:paraId="7C1D303B">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.1履约验收的主体：成都市技师学院</w:t>
      </w:r>
    </w:p>
    <w:p w14:paraId="1A44A415">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.2时间：分为隐蔽工程验收、整体工程竣工验收、质保期验收三类，时间安排不同，详见下表“验收时间及程序”。</w:t>
      </w:r>
    </w:p>
    <w:p w14:paraId="4D5A35C8">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.3方式：单位内部验收。</w:t>
      </w:r>
    </w:p>
    <w:p w14:paraId="42E1889D">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.4验收</w:t>
      </w:r>
      <w:r>
        <w:rPr>
          <w:rFonts w:hint="eastAsia" w:ascii="仿宋" w:hAnsi="仿宋" w:eastAsia="仿宋" w:cs="仿宋"/>
          <w:color w:val="auto"/>
          <w:spacing w:val="5"/>
          <w:kern w:val="0"/>
          <w:sz w:val="24"/>
          <w:highlight w:val="none"/>
          <w:lang w:val="en-US" w:eastAsia="zh-CN"/>
        </w:rPr>
        <w:t>时间及</w:t>
      </w:r>
      <w:r>
        <w:rPr>
          <w:rFonts w:hint="eastAsia" w:ascii="仿宋" w:hAnsi="仿宋" w:eastAsia="仿宋" w:cs="仿宋"/>
          <w:color w:val="auto"/>
          <w:spacing w:val="5"/>
          <w:kern w:val="0"/>
          <w:sz w:val="24"/>
          <w:highlight w:val="none"/>
        </w:rPr>
        <w:t>程序：</w:t>
      </w:r>
    </w:p>
    <w:p w14:paraId="049C1B8D">
      <w:pPr>
        <w:spacing w:line="360" w:lineRule="auto"/>
        <w:ind w:firstLine="500" w:firstLineChars="200"/>
        <w:contextualSpacing/>
        <w:rPr>
          <w:rFonts w:hint="eastAsia"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rPr>
        <w:t>(1)工程施工过程中，若有隐蔽工程的，供应商应在隐蔽工程完成后2日历天内书面通知采购人验收，采购人收到供应商隐蔽工程验收通知后5日历天内完成隐蔽工程的验收，验收合格方能进入下一道工序。若供应商未通知采购人参加验收，采购人有权要求供应商返工、支付违约金并重新办理验收手续，由此导致超出工程期限的，供应商承担相应的逾期责任，并且因重新返工和办理验收手续所产生的费用也由供应商自行承担。违约金的支付参照合同相应条款约定。</w:t>
      </w:r>
    </w:p>
    <w:p w14:paraId="5DC02961">
      <w:pPr>
        <w:spacing w:line="360" w:lineRule="auto"/>
        <w:ind w:firstLine="500" w:firstLineChars="200"/>
        <w:contextualSpacing/>
        <w:rPr>
          <w:rFonts w:hint="eastAsia"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rPr>
        <w:t>(2)工程全部竣工后，供应商应书面通知采购人正式验收，采购人在接到验收通知后20日历天内组织验收小组进行现场验收。验收合格，双方签署《工程竣工验收报告》。如采购人在指定时间内未能组织验收，需及时通知供应商，另定验收日期，但采购人应承认竣工日期。</w:t>
      </w:r>
    </w:p>
    <w:p w14:paraId="4AD9B54F">
      <w:pPr>
        <w:spacing w:line="360" w:lineRule="auto"/>
        <w:ind w:firstLine="500" w:firstLineChars="200"/>
        <w:contextualSpacing/>
        <w:rPr>
          <w:rFonts w:hint="eastAsia"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rPr>
        <w:t>(3)质保期内单次售后服务完成后，采购人收到供应商售后服务单次验收申请之日起10日历天内组织售后服务验收。验收合格，则签署《售后服务验收报告单》；若单次售后服务验收不合格，采购人有权要求供应商限期整改，若整改依然不能达到要求的或未在采购人通知的时间内完成整改的，采购人有权按照合同约定追究供应商的违约责任。</w:t>
      </w:r>
    </w:p>
    <w:p w14:paraId="697F7D8A">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3.5</w:t>
      </w:r>
      <w:r>
        <w:rPr>
          <w:rFonts w:hint="eastAsia" w:ascii="仿宋" w:hAnsi="仿宋" w:eastAsia="仿宋" w:cs="仿宋"/>
          <w:color w:val="auto"/>
          <w:spacing w:val="5"/>
          <w:kern w:val="0"/>
          <w:sz w:val="24"/>
          <w:highlight w:val="none"/>
        </w:rPr>
        <w:t>验收方式：工程竣工验收及售后服务验收均为学校自主现场验收。</w:t>
      </w:r>
    </w:p>
    <w:p w14:paraId="267241FB">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.6验收内容及标准：</w:t>
      </w:r>
    </w:p>
    <w:p w14:paraId="4A670A73">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rPr>
        <w:t>(1)工程内容验收包括①是否按照约定完成施工；②工程和工程量达到采购人的设计使用功能，且符合现行国家施工验收规范、建筑工程质量验收标准、质量评定标准及其他相关法律、法规当地行政主管部门颁发的有关文件等要求，③供应商竣工的项目需符合本项目合同的约定。</w:t>
      </w:r>
    </w:p>
    <w:p w14:paraId="54663F00">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rPr>
        <w:t>(2)工程内容验收包括①是否按照约定完成施工；②工程和工程量达到采购人的设计使用功能，且符合现行国家施工验收规范、建筑工程质量验收标准、质量评定标准及其他相关法律、法规当地行政主管部门颁发的有关文件等要求，③供应商竣工的项目需符合本项目合同的约定。</w:t>
      </w:r>
    </w:p>
    <w:p w14:paraId="56C140F8">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.7验收不合格的处理方式：</w:t>
      </w:r>
    </w:p>
    <w:p w14:paraId="45ACA5D7">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rPr>
        <w:t>（1）若竣工验收不合格要求整改的，整改时间由采购人根据项目具体情况确定，其返工整改费用由供应商承担，且工期不顺延，同时供应商应当赔偿由此给采购人造成的全部损失。若供应商未在约定时间内完成整改或整改后采购人验收仍无法达到要求的，则视为供应商不能履约，采购人有权终止合同，并按合同约定追究供应商的违约责任。</w:t>
      </w:r>
    </w:p>
    <w:p w14:paraId="5130FB43">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rPr>
        <w:t>（2）若单次售后服务验收不合格，采购人有权要求整改，整改时间由采购人根据项目具体情况确定，其整改费用由供应商承担，若供应商未在约定时间内完成整改或整改后采购人验收仍无法达到要求的，则采购人有权按合同约定追究供应商的违约责任。</w:t>
      </w:r>
    </w:p>
    <w:p w14:paraId="7E26945C">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.8供应商提供竣工验收资料的内容：竣工验收后15个日历天内将施工过程中形成的有关完整资料分类整理，供应商提交的竣工资料和竣工图必须达到《建设工程文件归档规范》(GB/T 50328-2019)要求。供应商应按时递交结算资料，竣工验收后15日历天内未递交的每逾1日历天递交应按合同总金额万分之三向采购人支付违约金（采购人有权直接从应付款项中扣除）；逾期超过15日历天且采购人提醒仍不递交的，采购人有权没收供应商履约保证金，且不予支付供应商剩余合同价款。</w:t>
      </w:r>
    </w:p>
    <w:p w14:paraId="41D85F47">
      <w:pPr>
        <w:spacing w:line="360" w:lineRule="auto"/>
        <w:ind w:firstLine="500" w:firstLineChars="200"/>
        <w:contextualSpacing/>
        <w:rPr>
          <w:rFonts w:ascii="仿宋" w:hAnsi="仿宋" w:eastAsia="仿宋" w:cs="仿宋"/>
          <w:color w:val="auto"/>
          <w:spacing w:val="5"/>
          <w:kern w:val="0"/>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.9其他未尽事宜应参照《财政部关于进一步加强政府采购需求和履约验收管理的指导意见》(财库〔2016〕205号)的要求进行验收。</w:t>
      </w:r>
    </w:p>
    <w:p w14:paraId="3DA069D6">
      <w:pPr>
        <w:spacing w:line="360" w:lineRule="auto"/>
        <w:ind w:firstLine="500" w:firstLineChars="200"/>
        <w:contextualSpacing/>
        <w:rPr>
          <w:rFonts w:ascii="仿宋" w:hAnsi="仿宋" w:eastAsia="仿宋" w:cs="仿宋"/>
          <w:color w:val="auto"/>
          <w:sz w:val="24"/>
          <w:highlight w:val="none"/>
        </w:rPr>
      </w:pPr>
      <w:r>
        <w:rPr>
          <w:rFonts w:hint="eastAsia" w:ascii="仿宋" w:hAnsi="仿宋" w:eastAsia="仿宋" w:cs="仿宋"/>
          <w:color w:val="auto"/>
          <w:spacing w:val="5"/>
          <w:kern w:val="0"/>
          <w:sz w:val="24"/>
          <w:highlight w:val="none"/>
          <w:lang w:val="en-US" w:eastAsia="zh-CN"/>
        </w:rPr>
        <w:t>3</w:t>
      </w:r>
      <w:r>
        <w:rPr>
          <w:rFonts w:hint="eastAsia" w:ascii="仿宋" w:hAnsi="仿宋" w:eastAsia="仿宋" w:cs="仿宋"/>
          <w:color w:val="auto"/>
          <w:spacing w:val="5"/>
          <w:kern w:val="0"/>
          <w:sz w:val="24"/>
          <w:highlight w:val="none"/>
        </w:rPr>
        <w:t>.10交付方式及标准：工程竣工后，经采购人组织各方实地验收合格后，各方在《工程竣工验收报告》上签字，视为正式交付。</w:t>
      </w:r>
    </w:p>
    <w:p w14:paraId="249FD103">
      <w:pPr>
        <w:spacing w:line="360" w:lineRule="auto"/>
        <w:ind w:firstLine="480" w:firstLineChars="200"/>
        <w:contextualSpacing/>
        <w:rPr>
          <w:rFonts w:ascii="仿宋" w:hAnsi="仿宋" w:eastAsia="仿宋" w:cs="仿宋"/>
          <w:color w:val="auto"/>
          <w:sz w:val="24"/>
          <w:highlight w:val="none"/>
        </w:rPr>
      </w:pPr>
    </w:p>
    <w:p w14:paraId="0E12FA46">
      <w:pPr>
        <w:rPr>
          <w:rFonts w:ascii="仿宋" w:hAnsi="仿宋" w:eastAsia="仿宋"/>
          <w:color w:val="auto"/>
          <w:highlight w:val="none"/>
        </w:rPr>
      </w:pPr>
      <w:bookmarkStart w:id="80" w:name="_Toc94214580"/>
      <w:r>
        <w:rPr>
          <w:rFonts w:hint="eastAsia" w:ascii="仿宋" w:hAnsi="仿宋" w:eastAsia="仿宋"/>
          <w:color w:val="auto"/>
          <w:highlight w:val="none"/>
        </w:rPr>
        <w:br w:type="page"/>
      </w:r>
    </w:p>
    <w:p w14:paraId="5F14AF1F">
      <w:pPr>
        <w:pStyle w:val="38"/>
        <w:rPr>
          <w:rFonts w:ascii="仿宋" w:hAnsi="仿宋" w:eastAsia="仿宋"/>
          <w:color w:val="auto"/>
          <w:highlight w:val="none"/>
        </w:rPr>
      </w:pPr>
      <w:r>
        <w:rPr>
          <w:rFonts w:hint="eastAsia" w:ascii="仿宋" w:hAnsi="仿宋" w:eastAsia="仿宋"/>
          <w:color w:val="auto"/>
          <w:highlight w:val="none"/>
        </w:rPr>
        <w:t>第六章  谈判内容、谈判过程中可能实质性变动的内容</w:t>
      </w:r>
      <w:bookmarkEnd w:id="80"/>
    </w:p>
    <w:p w14:paraId="68EBC57E">
      <w:pPr>
        <w:pStyle w:val="74"/>
        <w:ind w:firstLine="480"/>
        <w:rPr>
          <w:color w:val="auto"/>
          <w:highlight w:val="none"/>
        </w:rPr>
      </w:pPr>
    </w:p>
    <w:p w14:paraId="166B136D">
      <w:pPr>
        <w:tabs>
          <w:tab w:val="left" w:pos="7665"/>
        </w:tabs>
        <w:spacing w:line="360" w:lineRule="auto"/>
        <w:ind w:firstLine="480"/>
        <w:rPr>
          <w:rFonts w:ascii="仿宋" w:hAnsi="仿宋" w:eastAsia="仿宋"/>
          <w:bCs/>
          <w:color w:val="auto"/>
          <w:sz w:val="24"/>
          <w:highlight w:val="none"/>
        </w:rPr>
      </w:pPr>
    </w:p>
    <w:p w14:paraId="6EED1480">
      <w:pPr>
        <w:spacing w:line="360" w:lineRule="auto"/>
        <w:ind w:firstLine="393" w:firstLineChars="164"/>
        <w:rPr>
          <w:rFonts w:ascii="仿宋" w:hAnsi="仿宋" w:eastAsia="仿宋"/>
          <w:color w:val="auto"/>
          <w:highlight w:val="none"/>
        </w:rPr>
      </w:pPr>
      <w:r>
        <w:rPr>
          <w:rFonts w:ascii="仿宋" w:hAnsi="仿宋" w:eastAsia="仿宋"/>
          <w:color w:val="auto"/>
          <w:sz w:val="24"/>
          <w:highlight w:val="none"/>
        </w:rPr>
        <w:t>针对</w:t>
      </w:r>
      <w:r>
        <w:rPr>
          <w:rFonts w:hint="eastAsia" w:ascii="仿宋" w:hAnsi="仿宋" w:eastAsia="仿宋"/>
          <w:color w:val="auto"/>
          <w:sz w:val="24"/>
          <w:highlight w:val="none"/>
        </w:rPr>
        <w:t>第五章、第九章</w:t>
      </w:r>
      <w:r>
        <w:rPr>
          <w:rFonts w:ascii="仿宋" w:hAnsi="仿宋" w:eastAsia="仿宋"/>
          <w:color w:val="auto"/>
          <w:sz w:val="24"/>
          <w:highlight w:val="none"/>
        </w:rPr>
        <w:t>所包含的</w:t>
      </w:r>
      <w:r>
        <w:rPr>
          <w:rFonts w:hint="eastAsia" w:ascii="仿宋" w:hAnsi="仿宋" w:eastAsia="仿宋"/>
          <w:color w:val="auto"/>
          <w:sz w:val="24"/>
          <w:highlight w:val="none"/>
        </w:rPr>
        <w:t>技术、服务要求以及合同草案条款</w:t>
      </w:r>
      <w:r>
        <w:rPr>
          <w:rFonts w:ascii="仿宋" w:hAnsi="仿宋" w:eastAsia="仿宋"/>
          <w:color w:val="auto"/>
          <w:sz w:val="24"/>
          <w:highlight w:val="none"/>
        </w:rPr>
        <w:t>，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bookmarkEnd w:id="19"/>
    <w:bookmarkEnd w:id="20"/>
    <w:bookmarkEnd w:id="21"/>
    <w:bookmarkEnd w:id="22"/>
    <w:bookmarkEnd w:id="23"/>
    <w:p w14:paraId="067E0B68">
      <w:pPr>
        <w:widowControl/>
        <w:spacing w:line="360" w:lineRule="auto"/>
        <w:jc w:val="left"/>
        <w:rPr>
          <w:rFonts w:ascii="仿宋" w:hAnsi="仿宋" w:eastAsia="仿宋"/>
          <w:b/>
          <w:bCs/>
          <w:color w:val="auto"/>
          <w:sz w:val="32"/>
          <w:szCs w:val="32"/>
          <w:highlight w:val="none"/>
        </w:rPr>
      </w:pPr>
      <w:bookmarkStart w:id="81" w:name="_Toc183582232"/>
      <w:bookmarkStart w:id="82" w:name="_Toc183682369"/>
      <w:bookmarkStart w:id="83" w:name="_Toc217446057"/>
      <w:r>
        <w:rPr>
          <w:rFonts w:ascii="仿宋" w:hAnsi="仿宋" w:eastAsia="仿宋"/>
          <w:b/>
          <w:bCs/>
          <w:color w:val="auto"/>
          <w:sz w:val="32"/>
          <w:szCs w:val="32"/>
          <w:highlight w:val="none"/>
        </w:rPr>
        <w:br w:type="page"/>
      </w:r>
    </w:p>
    <w:p w14:paraId="3CA07BEF">
      <w:pPr>
        <w:pStyle w:val="38"/>
        <w:rPr>
          <w:rFonts w:ascii="仿宋" w:hAnsi="仿宋" w:eastAsia="仿宋"/>
          <w:color w:val="auto"/>
          <w:highlight w:val="none"/>
        </w:rPr>
      </w:pPr>
      <w:bookmarkStart w:id="84" w:name="_Toc94214581"/>
      <w:r>
        <w:rPr>
          <w:rFonts w:hint="eastAsia" w:ascii="仿宋" w:hAnsi="仿宋" w:eastAsia="仿宋"/>
          <w:color w:val="auto"/>
          <w:highlight w:val="none"/>
        </w:rPr>
        <w:t>第七章  响应文件格式</w:t>
      </w:r>
      <w:bookmarkEnd w:id="84"/>
    </w:p>
    <w:p w14:paraId="5D96CEDF">
      <w:pPr>
        <w:tabs>
          <w:tab w:val="left" w:pos="7665"/>
        </w:tabs>
        <w:spacing w:line="360" w:lineRule="auto"/>
        <w:ind w:firstLine="480"/>
        <w:rPr>
          <w:rFonts w:ascii="仿宋" w:hAnsi="仿宋" w:eastAsia="仿宋"/>
          <w:bCs/>
          <w:color w:val="auto"/>
          <w:sz w:val="24"/>
          <w:highlight w:val="none"/>
        </w:rPr>
      </w:pPr>
    </w:p>
    <w:p w14:paraId="4514D1D8">
      <w:pPr>
        <w:spacing w:line="360" w:lineRule="auto"/>
        <w:jc w:val="center"/>
        <w:rPr>
          <w:rFonts w:ascii="仿宋" w:hAnsi="仿宋" w:eastAsia="仿宋"/>
          <w:b/>
          <w:color w:val="auto"/>
          <w:sz w:val="32"/>
          <w:szCs w:val="32"/>
          <w:highlight w:val="none"/>
        </w:rPr>
      </w:pPr>
    </w:p>
    <w:p w14:paraId="3FA387F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一、本章所制响应文件格式，除格式中明确将该格式作为实质性要求的，一律不具有强制性。</w:t>
      </w:r>
    </w:p>
    <w:p w14:paraId="1D98E09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二、本章所制响应文件格式有关表格中的备注栏，由供应商根据自身响应情况作解释性说明，不作为必填项。</w:t>
      </w:r>
    </w:p>
    <w:p w14:paraId="5CFB39C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C7970BA">
      <w:pPr>
        <w:spacing w:line="360" w:lineRule="auto"/>
        <w:ind w:firstLine="480" w:firstLineChars="200"/>
        <w:rPr>
          <w:rFonts w:ascii="仿宋" w:hAnsi="仿宋" w:eastAsia="仿宋"/>
          <w:color w:val="auto"/>
          <w:sz w:val="24"/>
          <w:highlight w:val="none"/>
        </w:rPr>
        <w:sectPr>
          <w:footerReference r:id="rId12" w:type="first"/>
          <w:headerReference r:id="rId8" w:type="default"/>
          <w:footerReference r:id="rId10" w:type="default"/>
          <w:headerReference r:id="rId9" w:type="even"/>
          <w:footerReference r:id="rId11" w:type="even"/>
          <w:pgSz w:w="11906" w:h="16838"/>
          <w:pgMar w:top="1440" w:right="1797" w:bottom="1440" w:left="1797" w:header="851" w:footer="992" w:gutter="0"/>
          <w:cols w:space="425" w:num="1"/>
          <w:docGrid w:linePitch="312" w:charSpace="0"/>
        </w:sectPr>
      </w:pPr>
    </w:p>
    <w:p w14:paraId="195196A8">
      <w:pPr>
        <w:spacing w:line="360" w:lineRule="auto"/>
        <w:ind w:firstLine="480" w:firstLineChars="200"/>
        <w:rPr>
          <w:rFonts w:ascii="仿宋" w:hAnsi="仿宋" w:eastAsia="仿宋"/>
          <w:color w:val="auto"/>
          <w:sz w:val="24"/>
          <w:highlight w:val="none"/>
        </w:rPr>
      </w:pPr>
    </w:p>
    <w:p w14:paraId="60B63D40">
      <w:pPr>
        <w:widowControl/>
        <w:jc w:val="left"/>
        <w:rPr>
          <w:rFonts w:ascii="仿宋" w:hAnsi="仿宋" w:eastAsia="仿宋"/>
          <w:b/>
          <w:color w:val="auto"/>
          <w:sz w:val="32"/>
          <w:szCs w:val="32"/>
          <w:highlight w:val="none"/>
        </w:rPr>
      </w:pPr>
      <w:r>
        <w:rPr>
          <w:rFonts w:ascii="仿宋" w:hAnsi="仿宋" w:eastAsia="仿宋"/>
          <w:b/>
          <w:color w:val="auto"/>
          <w:sz w:val="32"/>
          <w:szCs w:val="32"/>
          <w:highlight w:val="none"/>
        </w:rPr>
        <w:br w:type="page"/>
      </w:r>
    </w:p>
    <w:p w14:paraId="4F826921">
      <w:pPr>
        <w:spacing w:line="360" w:lineRule="auto"/>
        <w:jc w:val="center"/>
        <w:outlineLvl w:val="1"/>
        <w:rPr>
          <w:rFonts w:ascii="仿宋" w:hAnsi="仿宋" w:eastAsia="仿宋"/>
          <w:b/>
          <w:color w:val="auto"/>
          <w:sz w:val="32"/>
          <w:szCs w:val="32"/>
          <w:highlight w:val="none"/>
        </w:rPr>
      </w:pPr>
      <w:r>
        <w:rPr>
          <w:rFonts w:ascii="仿宋" w:hAnsi="仿宋" w:eastAsia="仿宋"/>
          <w:b/>
          <w:color w:val="auto"/>
          <w:sz w:val="32"/>
          <w:highlight w:val="none"/>
        </w:rPr>
        <w:t xml:space="preserve">第一部分     </w:t>
      </w:r>
      <w:r>
        <w:rPr>
          <w:rFonts w:hint="eastAsia" w:ascii="仿宋" w:hAnsi="仿宋" w:eastAsia="仿宋"/>
          <w:b/>
          <w:color w:val="auto"/>
          <w:sz w:val="32"/>
          <w:highlight w:val="none"/>
        </w:rPr>
        <w:t>“</w:t>
      </w:r>
      <w:r>
        <w:rPr>
          <w:rFonts w:ascii="仿宋" w:hAnsi="仿宋" w:eastAsia="仿宋"/>
          <w:b/>
          <w:color w:val="auto"/>
          <w:sz w:val="32"/>
          <w:highlight w:val="none"/>
        </w:rPr>
        <w:t>资格性</w:t>
      </w:r>
      <w:r>
        <w:rPr>
          <w:rFonts w:hint="eastAsia" w:ascii="仿宋" w:hAnsi="仿宋" w:eastAsia="仿宋"/>
          <w:b/>
          <w:color w:val="auto"/>
          <w:sz w:val="32"/>
          <w:highlight w:val="none"/>
        </w:rPr>
        <w:t>响应</w:t>
      </w:r>
      <w:r>
        <w:rPr>
          <w:rFonts w:ascii="仿宋" w:hAnsi="仿宋" w:eastAsia="仿宋"/>
          <w:b/>
          <w:color w:val="auto"/>
          <w:sz w:val="32"/>
          <w:highlight w:val="none"/>
        </w:rPr>
        <w:t>文件</w:t>
      </w:r>
      <w:r>
        <w:rPr>
          <w:rFonts w:hint="eastAsia" w:ascii="仿宋" w:hAnsi="仿宋" w:eastAsia="仿宋"/>
          <w:b/>
          <w:color w:val="auto"/>
          <w:sz w:val="32"/>
          <w:highlight w:val="none"/>
        </w:rPr>
        <w:t>”</w:t>
      </w:r>
      <w:r>
        <w:rPr>
          <w:rFonts w:ascii="仿宋" w:hAnsi="仿宋" w:eastAsia="仿宋"/>
          <w:b/>
          <w:color w:val="auto"/>
          <w:sz w:val="32"/>
          <w:highlight w:val="none"/>
        </w:rPr>
        <w:t>格式</w:t>
      </w:r>
    </w:p>
    <w:p w14:paraId="536AEF47">
      <w:pPr>
        <w:spacing w:line="360" w:lineRule="auto"/>
        <w:rPr>
          <w:rFonts w:ascii="仿宋" w:hAnsi="仿宋" w:eastAsia="仿宋"/>
          <w:b/>
          <w:color w:val="auto"/>
          <w:sz w:val="28"/>
          <w:szCs w:val="28"/>
          <w:highlight w:val="none"/>
        </w:rPr>
      </w:pPr>
      <w:r>
        <w:rPr>
          <w:rFonts w:hint="eastAsia" w:ascii="仿宋" w:hAnsi="仿宋" w:eastAsia="仿宋"/>
          <w:b/>
          <w:color w:val="auto"/>
          <w:sz w:val="28"/>
          <w:szCs w:val="28"/>
          <w:highlight w:val="none"/>
        </w:rPr>
        <w:t>格式1-1</w:t>
      </w:r>
    </w:p>
    <w:p w14:paraId="1E9534BA">
      <w:pPr>
        <w:spacing w:line="360" w:lineRule="auto"/>
        <w:outlineLvl w:val="2"/>
        <w:rPr>
          <w:rFonts w:ascii="仿宋" w:hAnsi="仿宋" w:eastAsia="仿宋"/>
          <w:b/>
          <w:color w:val="auto"/>
          <w:sz w:val="28"/>
          <w:szCs w:val="28"/>
          <w:highlight w:val="none"/>
        </w:rPr>
      </w:pPr>
      <w:r>
        <w:rPr>
          <w:rFonts w:ascii="仿宋" w:hAnsi="仿宋" w:eastAsia="仿宋"/>
          <w:b/>
          <w:color w:val="auto"/>
          <w:sz w:val="28"/>
          <w:szCs w:val="28"/>
          <w:highlight w:val="none"/>
        </w:rPr>
        <w:t>封面：</w:t>
      </w:r>
    </w:p>
    <w:p w14:paraId="6B0E348E">
      <w:pPr>
        <w:spacing w:line="360" w:lineRule="auto"/>
        <w:jc w:val="right"/>
        <w:rPr>
          <w:rFonts w:ascii="仿宋" w:hAnsi="仿宋" w:eastAsia="仿宋"/>
          <w:b/>
          <w:color w:val="auto"/>
          <w:sz w:val="36"/>
          <w:highlight w:val="none"/>
        </w:rPr>
      </w:pPr>
      <w:r>
        <w:rPr>
          <w:rFonts w:ascii="仿宋" w:hAnsi="仿宋" w:eastAsia="仿宋"/>
          <w:b/>
          <w:color w:val="auto"/>
          <w:sz w:val="36"/>
          <w:highlight w:val="none"/>
        </w:rPr>
        <w:t>（正本/副本）</w:t>
      </w:r>
    </w:p>
    <w:p w14:paraId="0480998D">
      <w:pPr>
        <w:spacing w:line="360" w:lineRule="auto"/>
        <w:jc w:val="center"/>
        <w:rPr>
          <w:rFonts w:ascii="仿宋" w:hAnsi="仿宋" w:eastAsia="仿宋"/>
          <w:b/>
          <w:color w:val="auto"/>
          <w:sz w:val="72"/>
          <w:highlight w:val="none"/>
        </w:rPr>
      </w:pPr>
      <w:r>
        <w:rPr>
          <w:rFonts w:hint="eastAsia" w:ascii="仿宋" w:hAnsi="仿宋" w:eastAsia="仿宋"/>
          <w:b/>
          <w:color w:val="auto"/>
          <w:sz w:val="40"/>
          <w:szCs w:val="48"/>
          <w:highlight w:val="none"/>
          <w:u w:val="single"/>
        </w:rPr>
        <w:t>XX</w:t>
      </w:r>
      <w:r>
        <w:rPr>
          <w:rFonts w:hint="eastAsia" w:ascii="仿宋" w:hAnsi="仿宋" w:eastAsia="仿宋"/>
          <w:b/>
          <w:color w:val="auto"/>
          <w:sz w:val="40"/>
          <w:szCs w:val="48"/>
          <w:highlight w:val="none"/>
        </w:rPr>
        <w:t>项目</w:t>
      </w:r>
    </w:p>
    <w:p w14:paraId="5712DC32">
      <w:pPr>
        <w:spacing w:line="360" w:lineRule="auto"/>
        <w:rPr>
          <w:rFonts w:ascii="仿宋" w:hAnsi="仿宋" w:eastAsia="仿宋"/>
          <w:b/>
          <w:color w:val="auto"/>
          <w:sz w:val="52"/>
          <w:szCs w:val="52"/>
          <w:highlight w:val="none"/>
        </w:rPr>
      </w:pPr>
    </w:p>
    <w:p w14:paraId="573B5657">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52"/>
          <w:szCs w:val="52"/>
          <w:highlight w:val="none"/>
        </w:rPr>
        <w:t>资格性响应文件</w:t>
      </w:r>
    </w:p>
    <w:p w14:paraId="13E75C02">
      <w:pPr>
        <w:spacing w:line="360" w:lineRule="auto"/>
        <w:rPr>
          <w:rFonts w:ascii="仿宋" w:hAnsi="仿宋" w:eastAsia="仿宋"/>
          <w:b/>
          <w:color w:val="auto"/>
          <w:sz w:val="36"/>
          <w:highlight w:val="none"/>
        </w:rPr>
      </w:pPr>
    </w:p>
    <w:p w14:paraId="637D96B9">
      <w:pPr>
        <w:spacing w:line="360" w:lineRule="auto"/>
        <w:rPr>
          <w:rFonts w:ascii="仿宋" w:hAnsi="仿宋" w:eastAsia="仿宋"/>
          <w:b/>
          <w:color w:val="auto"/>
          <w:sz w:val="36"/>
          <w:highlight w:val="none"/>
        </w:rPr>
      </w:pPr>
    </w:p>
    <w:p w14:paraId="08B53C02">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供 应 商</w:t>
      </w:r>
      <w:r>
        <w:rPr>
          <w:rFonts w:ascii="仿宋" w:hAnsi="仿宋" w:eastAsia="仿宋"/>
          <w:b/>
          <w:color w:val="auto"/>
          <w:sz w:val="32"/>
          <w:highlight w:val="none"/>
        </w:rPr>
        <w:t>名称：</w:t>
      </w:r>
    </w:p>
    <w:p w14:paraId="75910FA8">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采购项目</w:t>
      </w:r>
      <w:r>
        <w:rPr>
          <w:rFonts w:ascii="仿宋" w:hAnsi="仿宋" w:eastAsia="仿宋"/>
          <w:b/>
          <w:color w:val="auto"/>
          <w:sz w:val="32"/>
          <w:highlight w:val="none"/>
        </w:rPr>
        <w:t>编号：</w:t>
      </w:r>
    </w:p>
    <w:p w14:paraId="581A009C">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包        号</w:t>
      </w:r>
      <w:r>
        <w:rPr>
          <w:rFonts w:ascii="仿宋" w:hAnsi="仿宋" w:eastAsia="仿宋"/>
          <w:b/>
          <w:color w:val="auto"/>
          <w:sz w:val="32"/>
          <w:highlight w:val="none"/>
        </w:rPr>
        <w:t>：</w:t>
      </w:r>
    </w:p>
    <w:p w14:paraId="35DA143C">
      <w:pPr>
        <w:spacing w:line="360" w:lineRule="auto"/>
        <w:jc w:val="center"/>
        <w:rPr>
          <w:rFonts w:ascii="仿宋" w:hAnsi="仿宋" w:eastAsia="仿宋"/>
          <w:b/>
          <w:color w:val="auto"/>
          <w:sz w:val="36"/>
          <w:highlight w:val="none"/>
        </w:rPr>
      </w:pPr>
    </w:p>
    <w:p w14:paraId="16E8D305">
      <w:pPr>
        <w:spacing w:line="360" w:lineRule="auto"/>
        <w:jc w:val="center"/>
        <w:rPr>
          <w:rFonts w:ascii="仿宋" w:hAnsi="仿宋" w:eastAsia="仿宋"/>
          <w:b/>
          <w:color w:val="auto"/>
          <w:sz w:val="36"/>
          <w:highlight w:val="none"/>
        </w:rPr>
      </w:pPr>
    </w:p>
    <w:p w14:paraId="5C5AA4B8">
      <w:pPr>
        <w:spacing w:line="360" w:lineRule="auto"/>
        <w:jc w:val="center"/>
        <w:rPr>
          <w:rFonts w:ascii="仿宋" w:hAnsi="仿宋" w:eastAsia="仿宋"/>
          <w:b/>
          <w:color w:val="auto"/>
          <w:sz w:val="36"/>
          <w:highlight w:val="none"/>
        </w:rPr>
      </w:pPr>
    </w:p>
    <w:p w14:paraId="6B25D4D8">
      <w:pPr>
        <w:spacing w:line="360" w:lineRule="auto"/>
        <w:jc w:val="center"/>
        <w:rPr>
          <w:rFonts w:ascii="仿宋" w:hAnsi="仿宋" w:eastAsia="仿宋" w:cs="Arial"/>
          <w:b/>
          <w:bCs/>
          <w:color w:val="auto"/>
          <w:sz w:val="32"/>
          <w:szCs w:val="32"/>
          <w:highlight w:val="none"/>
        </w:rPr>
      </w:pPr>
      <w:r>
        <w:rPr>
          <w:rFonts w:hint="eastAsia" w:ascii="仿宋" w:hAnsi="仿宋" w:eastAsia="仿宋"/>
          <w:b/>
          <w:color w:val="auto"/>
          <w:sz w:val="32"/>
          <w:highlight w:val="none"/>
        </w:rPr>
        <w:t>XX年XX</w:t>
      </w:r>
      <w:r>
        <w:rPr>
          <w:rFonts w:ascii="仿宋" w:hAnsi="仿宋" w:eastAsia="仿宋"/>
          <w:b/>
          <w:color w:val="auto"/>
          <w:sz w:val="32"/>
          <w:highlight w:val="none"/>
        </w:rPr>
        <w:t>月</w:t>
      </w:r>
      <w:r>
        <w:rPr>
          <w:rFonts w:hint="eastAsia" w:ascii="仿宋" w:hAnsi="仿宋" w:eastAsia="仿宋"/>
          <w:b/>
          <w:color w:val="auto"/>
          <w:sz w:val="32"/>
          <w:highlight w:val="none"/>
        </w:rPr>
        <w:t>XX</w:t>
      </w:r>
      <w:r>
        <w:rPr>
          <w:rFonts w:ascii="仿宋" w:hAnsi="仿宋" w:eastAsia="仿宋"/>
          <w:b/>
          <w:color w:val="auto"/>
          <w:sz w:val="32"/>
          <w:highlight w:val="none"/>
        </w:rPr>
        <w:t>日</w:t>
      </w:r>
    </w:p>
    <w:p w14:paraId="1F459E66">
      <w:pPr>
        <w:widowControl/>
        <w:jc w:val="left"/>
        <w:rPr>
          <w:rFonts w:ascii="仿宋" w:hAnsi="仿宋" w:eastAsia="仿宋"/>
          <w:b/>
          <w:color w:val="auto"/>
          <w:sz w:val="32"/>
          <w:szCs w:val="32"/>
          <w:highlight w:val="none"/>
        </w:rPr>
      </w:pPr>
      <w:r>
        <w:rPr>
          <w:rFonts w:ascii="仿宋" w:hAnsi="仿宋" w:eastAsia="仿宋"/>
          <w:b/>
          <w:color w:val="auto"/>
          <w:sz w:val="32"/>
          <w:szCs w:val="32"/>
          <w:highlight w:val="none"/>
        </w:rPr>
        <w:br w:type="page"/>
      </w:r>
    </w:p>
    <w:p w14:paraId="6E9E32B4">
      <w:pPr>
        <w:spacing w:line="360" w:lineRule="auto"/>
        <w:rPr>
          <w:rFonts w:ascii="仿宋" w:hAnsi="仿宋" w:eastAsia="仿宋"/>
          <w:b/>
          <w:color w:val="auto"/>
          <w:sz w:val="28"/>
          <w:szCs w:val="28"/>
          <w:highlight w:val="none"/>
        </w:rPr>
      </w:pPr>
      <w:r>
        <w:rPr>
          <w:rFonts w:hint="eastAsia" w:ascii="仿宋" w:hAnsi="仿宋" w:eastAsia="仿宋"/>
          <w:b/>
          <w:color w:val="auto"/>
          <w:sz w:val="28"/>
          <w:szCs w:val="28"/>
          <w:highlight w:val="none"/>
        </w:rPr>
        <w:t>格式1-2</w:t>
      </w:r>
    </w:p>
    <w:p w14:paraId="2C49E8EC">
      <w:pPr>
        <w:spacing w:line="360" w:lineRule="auto"/>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一、法定代表人/单位负责人授权书</w:t>
      </w:r>
    </w:p>
    <w:p w14:paraId="488F73C4">
      <w:pPr>
        <w:pStyle w:val="74"/>
        <w:ind w:firstLine="480"/>
        <w:rPr>
          <w:color w:val="auto"/>
          <w:highlight w:val="none"/>
        </w:rPr>
      </w:pPr>
    </w:p>
    <w:p w14:paraId="769788DB">
      <w:pPr>
        <w:pStyle w:val="74"/>
        <w:ind w:firstLine="480"/>
        <w:rPr>
          <w:color w:val="auto"/>
          <w:highlight w:val="none"/>
        </w:rPr>
      </w:pPr>
    </w:p>
    <w:p w14:paraId="23B513E5">
      <w:pPr>
        <w:widowControl/>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XXXXXXXX（采购代理机构名称）：</w:t>
      </w:r>
    </w:p>
    <w:p w14:paraId="60300592">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本授权声明： XXXX（供应商名称）XXXX（法定代表人/单位负责人姓名、职务）授权XXXX（被授权人姓名、职务）为我方 “XXXXXXXX” 项目（采购项目编号：XXXX）谈判采购活动的合法代表，以我方名义全权处理该项目有关谈判采购、签订合同以及执行合同等一切事宜。</w:t>
      </w:r>
    </w:p>
    <w:p w14:paraId="4B5A8659">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特此声明。</w:t>
      </w:r>
    </w:p>
    <w:p w14:paraId="7DED89B8">
      <w:pPr>
        <w:pStyle w:val="74"/>
        <w:ind w:firstLine="480"/>
        <w:rPr>
          <w:color w:val="auto"/>
          <w:highlight w:val="none"/>
        </w:rPr>
      </w:pPr>
    </w:p>
    <w:p w14:paraId="4A14CD2F">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法定代表人/单位负责人（委托人）签字或加盖个人印章：XXXX。</w:t>
      </w:r>
    </w:p>
    <w:p w14:paraId="29E7A33D">
      <w:pPr>
        <w:pStyle w:val="74"/>
        <w:ind w:firstLine="480"/>
        <w:rPr>
          <w:color w:val="auto"/>
          <w:highlight w:val="none"/>
        </w:rPr>
      </w:pPr>
    </w:p>
    <w:p w14:paraId="459D9245">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授权代表（被授权人）签字：XXXX。</w:t>
      </w:r>
    </w:p>
    <w:p w14:paraId="3C2D0006">
      <w:pPr>
        <w:pStyle w:val="74"/>
        <w:ind w:firstLine="480"/>
        <w:rPr>
          <w:color w:val="auto"/>
          <w:highlight w:val="none"/>
        </w:rPr>
      </w:pPr>
    </w:p>
    <w:p w14:paraId="0D504A93">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供应商名称：XXXX（单位盖章）。</w:t>
      </w:r>
    </w:p>
    <w:p w14:paraId="2391540F">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日    期：XXXX。</w:t>
      </w:r>
    </w:p>
    <w:p w14:paraId="2925342A">
      <w:pPr>
        <w:pStyle w:val="74"/>
        <w:ind w:firstLine="480"/>
        <w:rPr>
          <w:color w:val="auto"/>
          <w:highlight w:val="none"/>
        </w:rPr>
      </w:pPr>
      <w:bookmarkStart w:id="85" w:name="_Toc217446084"/>
    </w:p>
    <w:p w14:paraId="5BDDD63E">
      <w:pPr>
        <w:pStyle w:val="74"/>
        <w:ind w:firstLine="480"/>
        <w:rPr>
          <w:color w:val="auto"/>
          <w:highlight w:val="none"/>
        </w:rPr>
      </w:pPr>
    </w:p>
    <w:p w14:paraId="006EEF3F">
      <w:pPr>
        <w:pStyle w:val="74"/>
        <w:ind w:firstLine="480"/>
        <w:rPr>
          <w:color w:val="auto"/>
          <w:highlight w:val="none"/>
        </w:rPr>
      </w:pPr>
    </w:p>
    <w:p w14:paraId="5F487F53">
      <w:pPr>
        <w:spacing w:line="360" w:lineRule="auto"/>
        <w:ind w:left="840" w:hanging="840" w:hangingChars="350"/>
        <w:jc w:val="left"/>
        <w:rPr>
          <w:rFonts w:ascii="仿宋" w:hAnsi="仿宋" w:eastAsia="仿宋"/>
          <w:color w:val="auto"/>
          <w:sz w:val="24"/>
          <w:highlight w:val="none"/>
        </w:rPr>
      </w:pPr>
      <w:r>
        <w:rPr>
          <w:rFonts w:hint="eastAsia" w:ascii="仿宋" w:hAnsi="仿宋" w:eastAsia="仿宋"/>
          <w:color w:val="auto"/>
          <w:sz w:val="24"/>
          <w:highlight w:val="none"/>
        </w:rPr>
        <w:t>注：</w:t>
      </w:r>
    </w:p>
    <w:p w14:paraId="4CDB1CA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1.供应商为法人单位时提供“法定代表人授权书”，供应商为其他组织时提供“单位负责人授权书”，供应商为自然人时提供“自然人身份证明材料”。</w:t>
      </w:r>
    </w:p>
    <w:p w14:paraId="4F2329F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2.应附法定代表人/单位负责人身份证明材料复印件和授权代表身份证明材料复印件。</w:t>
      </w:r>
    </w:p>
    <w:p w14:paraId="442CE33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3.身份证明材料包括居民身份证或户口本或军官证或护照等。</w:t>
      </w:r>
    </w:p>
    <w:p w14:paraId="619B637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4.身份证明材料应同时提供其在有效期的材料，如居民身份证正、反面复印件。</w:t>
      </w:r>
    </w:p>
    <w:p w14:paraId="7B837826">
      <w:pPr>
        <w:pStyle w:val="74"/>
        <w:ind w:firstLine="480"/>
        <w:rPr>
          <w:color w:val="auto"/>
          <w:highlight w:val="none"/>
        </w:rPr>
      </w:pPr>
    </w:p>
    <w:bookmarkEnd w:id="85"/>
    <w:p w14:paraId="3CBF6830">
      <w:pPr>
        <w:spacing w:line="36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br w:type="page"/>
      </w:r>
      <w:r>
        <w:rPr>
          <w:rFonts w:hint="eastAsia" w:ascii="仿宋" w:hAnsi="仿宋" w:eastAsia="仿宋"/>
          <w:b/>
          <w:color w:val="auto"/>
          <w:sz w:val="28"/>
          <w:szCs w:val="28"/>
          <w:highlight w:val="none"/>
        </w:rPr>
        <w:t>格式1-3</w:t>
      </w:r>
    </w:p>
    <w:p w14:paraId="4C8D5FEF">
      <w:pPr>
        <w:spacing w:line="360" w:lineRule="auto"/>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二、承诺函</w:t>
      </w:r>
    </w:p>
    <w:p w14:paraId="77226CF7">
      <w:pPr>
        <w:pStyle w:val="74"/>
        <w:ind w:firstLine="480"/>
        <w:rPr>
          <w:color w:val="auto"/>
          <w:highlight w:val="none"/>
        </w:rPr>
      </w:pPr>
    </w:p>
    <w:p w14:paraId="1E51F05C">
      <w:pPr>
        <w:widowControl/>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XXXX（采购代理机构名称）：</w:t>
      </w:r>
    </w:p>
    <w:p w14:paraId="66802116">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我单位作为本次采购项目的供应商，根据谈判文件要求，现郑重承诺如下：</w:t>
      </w:r>
    </w:p>
    <w:p w14:paraId="32B8C8AC">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具备本项目规定的条件：</w:t>
      </w:r>
    </w:p>
    <w:p w14:paraId="7FB095A6">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（一）具有独立承担民事责任的能力；</w:t>
      </w:r>
    </w:p>
    <w:p w14:paraId="689310E8">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（二）具有良好的商业信誉和健全的财务会计制度；</w:t>
      </w:r>
    </w:p>
    <w:p w14:paraId="33ECF24F">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（三）具有履行合同所必需的设备和专业技术能力；</w:t>
      </w:r>
    </w:p>
    <w:p w14:paraId="034E0D99">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（四）具有依法缴纳税收和社会保障资金的良好记录；</w:t>
      </w:r>
    </w:p>
    <w:p w14:paraId="0A2129D2">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（五）参加采购活动前三年内，在经营活动中没有重大违法记录；</w:t>
      </w:r>
    </w:p>
    <w:p w14:paraId="55F22E19">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（六）法律、行政法规规定的其他条件；</w:t>
      </w:r>
    </w:p>
    <w:p w14:paraId="2C5B3FAF">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（七）根据采购项目提出的特殊条件</w:t>
      </w:r>
      <w:r>
        <w:rPr>
          <w:rFonts w:ascii="仿宋" w:hAnsi="仿宋" w:eastAsia="仿宋"/>
          <w:color w:val="auto"/>
          <w:sz w:val="24"/>
          <w:highlight w:val="none"/>
        </w:rPr>
        <w:t>。</w:t>
      </w:r>
    </w:p>
    <w:p w14:paraId="6ED76825">
      <w:pPr>
        <w:widowControl/>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本单位对上述承诺的内容事项真实性负责。如经查实上述承诺的内容事项存在虚假，我单位愿意接受以提供虚假材料谋取成交追究法律责任。</w:t>
      </w:r>
    </w:p>
    <w:p w14:paraId="441250D8">
      <w:pPr>
        <w:pStyle w:val="74"/>
        <w:ind w:firstLine="480"/>
        <w:rPr>
          <w:color w:val="auto"/>
          <w:highlight w:val="none"/>
        </w:rPr>
      </w:pPr>
    </w:p>
    <w:p w14:paraId="572728A5">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供应商名称：XXXX（单位公章）。</w:t>
      </w:r>
    </w:p>
    <w:p w14:paraId="1651F018">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法定代表人/单位负责人或授权代表（签字或加盖个人印章）：XXXX。</w:t>
      </w:r>
    </w:p>
    <w:p w14:paraId="2E19CB6E">
      <w:pPr>
        <w:widowControl/>
        <w:spacing w:line="360" w:lineRule="auto"/>
        <w:ind w:firstLine="470" w:firstLineChars="196"/>
        <w:jc w:val="left"/>
        <w:rPr>
          <w:rFonts w:ascii="仿宋" w:hAnsi="仿宋" w:eastAsia="仿宋"/>
          <w:color w:val="auto"/>
          <w:sz w:val="24"/>
          <w:highlight w:val="none"/>
        </w:rPr>
      </w:pPr>
      <w:r>
        <w:rPr>
          <w:rFonts w:hint="eastAsia" w:ascii="仿宋" w:hAnsi="仿宋" w:eastAsia="仿宋"/>
          <w:color w:val="auto"/>
          <w:sz w:val="24"/>
          <w:highlight w:val="none"/>
        </w:rPr>
        <w:t>日    期：XXXX。</w:t>
      </w:r>
    </w:p>
    <w:p w14:paraId="13A41F7D">
      <w:pPr>
        <w:spacing w:line="360" w:lineRule="auto"/>
        <w:rPr>
          <w:rFonts w:ascii="仿宋" w:hAnsi="仿宋" w:eastAsia="仿宋"/>
          <w:b/>
          <w:color w:val="auto"/>
          <w:sz w:val="28"/>
          <w:szCs w:val="28"/>
          <w:highlight w:val="none"/>
        </w:rPr>
      </w:pPr>
      <w:r>
        <w:rPr>
          <w:rFonts w:hint="eastAsia" w:ascii="仿宋" w:hAnsi="仿宋" w:eastAsia="仿宋"/>
          <w:color w:val="auto"/>
          <w:sz w:val="24"/>
          <w:highlight w:val="none"/>
        </w:rPr>
        <w:br w:type="page"/>
      </w:r>
      <w:r>
        <w:rPr>
          <w:rFonts w:hint="eastAsia" w:ascii="仿宋" w:hAnsi="仿宋" w:eastAsia="仿宋"/>
          <w:b/>
          <w:color w:val="auto"/>
          <w:sz w:val="28"/>
          <w:szCs w:val="28"/>
          <w:highlight w:val="none"/>
        </w:rPr>
        <w:t>格式1-4</w:t>
      </w:r>
    </w:p>
    <w:p w14:paraId="3FC530E6">
      <w:pPr>
        <w:spacing w:line="360" w:lineRule="auto"/>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三、供应商和报价产品其他资格、资质性及其他类似效力要求的相关证明材料</w:t>
      </w:r>
    </w:p>
    <w:p w14:paraId="69F30F33">
      <w:pPr>
        <w:spacing w:line="360" w:lineRule="auto"/>
        <w:rPr>
          <w:rFonts w:ascii="仿宋" w:hAnsi="仿宋" w:eastAsia="仿宋" w:cs="宋体"/>
          <w:bCs/>
          <w:color w:val="auto"/>
          <w:sz w:val="24"/>
          <w:highlight w:val="none"/>
        </w:rPr>
      </w:pPr>
      <w:r>
        <w:rPr>
          <w:rFonts w:hint="eastAsia" w:ascii="仿宋" w:hAnsi="仿宋" w:eastAsia="仿宋" w:cs="宋体"/>
          <w:bCs/>
          <w:color w:val="auto"/>
          <w:sz w:val="24"/>
          <w:highlight w:val="none"/>
        </w:rPr>
        <w:t>注：供应商应按谈判文件第四章相关要求提供佐证材料，有格式要求的从其要求，无格式要求的格式自拟。</w:t>
      </w:r>
    </w:p>
    <w:p w14:paraId="3ADEAD1C">
      <w:pPr>
        <w:widowControl/>
        <w:spacing w:line="360" w:lineRule="auto"/>
        <w:jc w:val="left"/>
        <w:rPr>
          <w:rFonts w:ascii="仿宋" w:hAnsi="仿宋" w:eastAsia="仿宋" w:cs="宋体"/>
          <w:bCs/>
          <w:color w:val="auto"/>
          <w:sz w:val="24"/>
          <w:highlight w:val="none"/>
        </w:rPr>
      </w:pPr>
      <w:r>
        <w:rPr>
          <w:rFonts w:ascii="仿宋" w:hAnsi="仿宋" w:eastAsia="仿宋" w:cs="宋体"/>
          <w:bCs/>
          <w:color w:val="auto"/>
          <w:sz w:val="24"/>
          <w:highlight w:val="none"/>
        </w:rPr>
        <w:br w:type="page"/>
      </w:r>
    </w:p>
    <w:p w14:paraId="2E75DDA3">
      <w:pPr>
        <w:tabs>
          <w:tab w:val="left" w:pos="900"/>
        </w:tabs>
        <w:spacing w:line="360" w:lineRule="auto"/>
        <w:jc w:val="center"/>
        <w:outlineLvl w:val="1"/>
        <w:rPr>
          <w:rFonts w:ascii="仿宋" w:hAnsi="仿宋" w:eastAsia="仿宋"/>
          <w:b/>
          <w:color w:val="auto"/>
          <w:sz w:val="32"/>
          <w:highlight w:val="none"/>
        </w:rPr>
      </w:pPr>
      <w:r>
        <w:rPr>
          <w:rFonts w:ascii="仿宋" w:hAnsi="仿宋" w:eastAsia="仿宋"/>
          <w:b/>
          <w:color w:val="auto"/>
          <w:sz w:val="32"/>
          <w:highlight w:val="none"/>
        </w:rPr>
        <w:t>第</w:t>
      </w:r>
      <w:r>
        <w:rPr>
          <w:rFonts w:hint="eastAsia" w:ascii="仿宋" w:hAnsi="仿宋" w:eastAsia="仿宋"/>
          <w:b/>
          <w:color w:val="auto"/>
          <w:sz w:val="32"/>
          <w:highlight w:val="none"/>
        </w:rPr>
        <w:t>二</w:t>
      </w:r>
      <w:r>
        <w:rPr>
          <w:rFonts w:ascii="仿宋" w:hAnsi="仿宋" w:eastAsia="仿宋"/>
          <w:b/>
          <w:color w:val="auto"/>
          <w:sz w:val="32"/>
          <w:highlight w:val="none"/>
        </w:rPr>
        <w:t xml:space="preserve">部分     </w:t>
      </w:r>
      <w:r>
        <w:rPr>
          <w:rFonts w:hint="eastAsia" w:ascii="仿宋" w:hAnsi="仿宋" w:eastAsia="仿宋"/>
          <w:b/>
          <w:color w:val="auto"/>
          <w:sz w:val="32"/>
          <w:highlight w:val="none"/>
        </w:rPr>
        <w:t>“其他响应</w:t>
      </w:r>
      <w:r>
        <w:rPr>
          <w:rFonts w:ascii="仿宋" w:hAnsi="仿宋" w:eastAsia="仿宋"/>
          <w:b/>
          <w:color w:val="auto"/>
          <w:sz w:val="32"/>
          <w:highlight w:val="none"/>
        </w:rPr>
        <w:t>文件</w:t>
      </w:r>
      <w:r>
        <w:rPr>
          <w:rFonts w:hint="eastAsia" w:ascii="仿宋" w:hAnsi="仿宋" w:eastAsia="仿宋"/>
          <w:b/>
          <w:color w:val="auto"/>
          <w:sz w:val="32"/>
          <w:highlight w:val="none"/>
        </w:rPr>
        <w:t>”</w:t>
      </w:r>
      <w:r>
        <w:rPr>
          <w:rFonts w:ascii="仿宋" w:hAnsi="仿宋" w:eastAsia="仿宋"/>
          <w:b/>
          <w:color w:val="auto"/>
          <w:sz w:val="32"/>
          <w:highlight w:val="none"/>
        </w:rPr>
        <w:t>格式</w:t>
      </w:r>
    </w:p>
    <w:p w14:paraId="6C734AA8">
      <w:pPr>
        <w:spacing w:line="360" w:lineRule="auto"/>
        <w:rPr>
          <w:rFonts w:ascii="仿宋" w:hAnsi="仿宋" w:eastAsia="仿宋"/>
          <w:b/>
          <w:color w:val="auto"/>
          <w:sz w:val="28"/>
          <w:szCs w:val="28"/>
          <w:highlight w:val="none"/>
        </w:rPr>
      </w:pPr>
      <w:r>
        <w:rPr>
          <w:rFonts w:hint="eastAsia" w:ascii="仿宋" w:hAnsi="仿宋" w:eastAsia="仿宋"/>
          <w:b/>
          <w:color w:val="auto"/>
          <w:sz w:val="28"/>
          <w:szCs w:val="28"/>
          <w:highlight w:val="none"/>
        </w:rPr>
        <w:t>格式2-1</w:t>
      </w:r>
    </w:p>
    <w:p w14:paraId="14283AC3">
      <w:pPr>
        <w:spacing w:line="360" w:lineRule="auto"/>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封面：</w:t>
      </w:r>
    </w:p>
    <w:p w14:paraId="13DC2C24">
      <w:pPr>
        <w:spacing w:line="360" w:lineRule="auto"/>
        <w:jc w:val="right"/>
        <w:rPr>
          <w:rFonts w:ascii="仿宋" w:hAnsi="仿宋" w:eastAsia="仿宋"/>
          <w:b/>
          <w:color w:val="auto"/>
          <w:sz w:val="36"/>
          <w:highlight w:val="none"/>
        </w:rPr>
      </w:pPr>
      <w:r>
        <w:rPr>
          <w:rFonts w:ascii="仿宋" w:hAnsi="仿宋" w:eastAsia="仿宋"/>
          <w:b/>
          <w:color w:val="auto"/>
          <w:sz w:val="36"/>
          <w:highlight w:val="none"/>
        </w:rPr>
        <w:t>（正本/副本）</w:t>
      </w:r>
    </w:p>
    <w:p w14:paraId="05F39EE7">
      <w:pPr>
        <w:spacing w:line="360" w:lineRule="auto"/>
        <w:rPr>
          <w:rFonts w:ascii="仿宋" w:hAnsi="仿宋" w:eastAsia="仿宋"/>
          <w:b/>
          <w:color w:val="auto"/>
          <w:sz w:val="32"/>
          <w:szCs w:val="32"/>
          <w:highlight w:val="none"/>
        </w:rPr>
      </w:pPr>
    </w:p>
    <w:p w14:paraId="01470AEF">
      <w:pPr>
        <w:spacing w:line="360" w:lineRule="auto"/>
        <w:jc w:val="center"/>
        <w:rPr>
          <w:rFonts w:ascii="仿宋" w:hAnsi="仿宋" w:eastAsia="仿宋"/>
          <w:b/>
          <w:color w:val="auto"/>
          <w:sz w:val="72"/>
          <w:highlight w:val="none"/>
        </w:rPr>
      </w:pPr>
      <w:r>
        <w:rPr>
          <w:rFonts w:hint="eastAsia" w:ascii="仿宋" w:hAnsi="仿宋" w:eastAsia="仿宋"/>
          <w:b/>
          <w:color w:val="auto"/>
          <w:sz w:val="40"/>
          <w:szCs w:val="48"/>
          <w:highlight w:val="none"/>
        </w:rPr>
        <w:t>XX项目</w:t>
      </w:r>
    </w:p>
    <w:p w14:paraId="5433F5ED">
      <w:pPr>
        <w:spacing w:line="360" w:lineRule="auto"/>
        <w:rPr>
          <w:rFonts w:ascii="仿宋" w:hAnsi="仿宋" w:eastAsia="仿宋"/>
          <w:b/>
          <w:color w:val="auto"/>
          <w:sz w:val="52"/>
          <w:szCs w:val="52"/>
          <w:highlight w:val="none"/>
        </w:rPr>
      </w:pPr>
    </w:p>
    <w:p w14:paraId="1AFE8068">
      <w:pPr>
        <w:spacing w:line="360" w:lineRule="auto"/>
        <w:jc w:val="center"/>
        <w:rPr>
          <w:rFonts w:ascii="仿宋" w:hAnsi="仿宋" w:eastAsia="仿宋"/>
          <w:b/>
          <w:color w:val="auto"/>
          <w:sz w:val="32"/>
          <w:szCs w:val="32"/>
          <w:highlight w:val="none"/>
        </w:rPr>
      </w:pPr>
      <w:r>
        <w:rPr>
          <w:rFonts w:hint="eastAsia" w:ascii="仿宋" w:hAnsi="仿宋" w:eastAsia="仿宋"/>
          <w:b/>
          <w:color w:val="auto"/>
          <w:sz w:val="52"/>
          <w:szCs w:val="52"/>
          <w:highlight w:val="none"/>
        </w:rPr>
        <w:t>其他响应文件</w:t>
      </w:r>
    </w:p>
    <w:p w14:paraId="46DE3459">
      <w:pPr>
        <w:spacing w:line="360" w:lineRule="auto"/>
        <w:rPr>
          <w:rFonts w:ascii="仿宋" w:hAnsi="仿宋" w:eastAsia="仿宋"/>
          <w:b/>
          <w:color w:val="auto"/>
          <w:sz w:val="36"/>
          <w:highlight w:val="none"/>
        </w:rPr>
      </w:pPr>
    </w:p>
    <w:p w14:paraId="0736C5F3">
      <w:pPr>
        <w:spacing w:line="360" w:lineRule="auto"/>
        <w:rPr>
          <w:rFonts w:ascii="仿宋" w:hAnsi="仿宋" w:eastAsia="仿宋"/>
          <w:b/>
          <w:color w:val="auto"/>
          <w:sz w:val="36"/>
          <w:highlight w:val="none"/>
        </w:rPr>
      </w:pPr>
    </w:p>
    <w:p w14:paraId="6E40A97A">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供 应 商</w:t>
      </w:r>
      <w:r>
        <w:rPr>
          <w:rFonts w:ascii="仿宋" w:hAnsi="仿宋" w:eastAsia="仿宋"/>
          <w:b/>
          <w:color w:val="auto"/>
          <w:sz w:val="32"/>
          <w:highlight w:val="none"/>
        </w:rPr>
        <w:t>名称：</w:t>
      </w:r>
    </w:p>
    <w:p w14:paraId="13F4F85A">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采购项目</w:t>
      </w:r>
      <w:r>
        <w:rPr>
          <w:rFonts w:ascii="仿宋" w:hAnsi="仿宋" w:eastAsia="仿宋"/>
          <w:b/>
          <w:color w:val="auto"/>
          <w:sz w:val="32"/>
          <w:highlight w:val="none"/>
        </w:rPr>
        <w:t>编号：</w:t>
      </w:r>
    </w:p>
    <w:p w14:paraId="401CA397">
      <w:pPr>
        <w:spacing w:line="360" w:lineRule="auto"/>
        <w:ind w:firstLine="643" w:firstLineChars="200"/>
        <w:jc w:val="left"/>
        <w:rPr>
          <w:rFonts w:ascii="仿宋" w:hAnsi="仿宋" w:eastAsia="仿宋"/>
          <w:b/>
          <w:color w:val="auto"/>
          <w:sz w:val="32"/>
          <w:highlight w:val="none"/>
          <w:u w:val="single"/>
        </w:rPr>
      </w:pPr>
      <w:r>
        <w:rPr>
          <w:rFonts w:hint="eastAsia" w:ascii="仿宋" w:hAnsi="仿宋" w:eastAsia="仿宋"/>
          <w:b/>
          <w:color w:val="auto"/>
          <w:sz w:val="32"/>
          <w:highlight w:val="none"/>
        </w:rPr>
        <w:t>包        号</w:t>
      </w:r>
      <w:r>
        <w:rPr>
          <w:rFonts w:ascii="仿宋" w:hAnsi="仿宋" w:eastAsia="仿宋"/>
          <w:b/>
          <w:color w:val="auto"/>
          <w:sz w:val="32"/>
          <w:highlight w:val="none"/>
        </w:rPr>
        <w:t>：</w:t>
      </w:r>
    </w:p>
    <w:p w14:paraId="6225A35F">
      <w:pPr>
        <w:spacing w:line="360" w:lineRule="auto"/>
        <w:ind w:firstLine="790" w:firstLineChars="246"/>
        <w:jc w:val="center"/>
        <w:rPr>
          <w:rFonts w:ascii="仿宋" w:hAnsi="仿宋" w:eastAsia="仿宋"/>
          <w:b/>
          <w:color w:val="auto"/>
          <w:sz w:val="32"/>
          <w:highlight w:val="none"/>
        </w:rPr>
      </w:pPr>
    </w:p>
    <w:p w14:paraId="6C077289">
      <w:pPr>
        <w:spacing w:line="360" w:lineRule="auto"/>
        <w:ind w:firstLine="790" w:firstLineChars="246"/>
        <w:jc w:val="center"/>
        <w:rPr>
          <w:rFonts w:ascii="仿宋" w:hAnsi="仿宋" w:eastAsia="仿宋"/>
          <w:b/>
          <w:color w:val="auto"/>
          <w:sz w:val="32"/>
          <w:highlight w:val="none"/>
        </w:rPr>
      </w:pPr>
      <w:r>
        <w:rPr>
          <w:rFonts w:hint="eastAsia" w:ascii="仿宋" w:hAnsi="仿宋" w:eastAsia="仿宋"/>
          <w:b/>
          <w:color w:val="auto"/>
          <w:sz w:val="32"/>
          <w:highlight w:val="none"/>
        </w:rPr>
        <w:t>XX年XX</w:t>
      </w:r>
      <w:r>
        <w:rPr>
          <w:rFonts w:ascii="仿宋" w:hAnsi="仿宋" w:eastAsia="仿宋"/>
          <w:b/>
          <w:color w:val="auto"/>
          <w:sz w:val="32"/>
          <w:highlight w:val="none"/>
        </w:rPr>
        <w:t>月</w:t>
      </w:r>
      <w:r>
        <w:rPr>
          <w:rFonts w:hint="eastAsia" w:ascii="仿宋" w:hAnsi="仿宋" w:eastAsia="仿宋"/>
          <w:b/>
          <w:color w:val="auto"/>
          <w:sz w:val="32"/>
          <w:highlight w:val="none"/>
        </w:rPr>
        <w:t>XX</w:t>
      </w:r>
      <w:r>
        <w:rPr>
          <w:rFonts w:ascii="仿宋" w:hAnsi="仿宋" w:eastAsia="仿宋"/>
          <w:b/>
          <w:color w:val="auto"/>
          <w:sz w:val="32"/>
          <w:highlight w:val="none"/>
        </w:rPr>
        <w:t>日</w:t>
      </w:r>
    </w:p>
    <w:p w14:paraId="668E92E5">
      <w:pPr>
        <w:spacing w:line="360" w:lineRule="auto"/>
        <w:rPr>
          <w:rFonts w:ascii="仿宋" w:hAnsi="仿宋" w:eastAsia="仿宋"/>
          <w:b/>
          <w:color w:val="auto"/>
          <w:sz w:val="32"/>
          <w:szCs w:val="32"/>
          <w:highlight w:val="none"/>
        </w:rPr>
      </w:pPr>
      <w:r>
        <w:rPr>
          <w:rFonts w:ascii="仿宋" w:hAnsi="仿宋" w:eastAsia="仿宋"/>
          <w:b/>
          <w:color w:val="auto"/>
          <w:sz w:val="32"/>
          <w:highlight w:val="none"/>
        </w:rPr>
        <w:br w:type="page"/>
      </w:r>
      <w:r>
        <w:rPr>
          <w:rFonts w:hint="eastAsia" w:ascii="仿宋" w:hAnsi="仿宋" w:eastAsia="仿宋"/>
          <w:b/>
          <w:color w:val="auto"/>
          <w:sz w:val="28"/>
          <w:szCs w:val="28"/>
          <w:highlight w:val="none"/>
        </w:rPr>
        <w:t>格式2-2</w:t>
      </w:r>
    </w:p>
    <w:p w14:paraId="37AED99A">
      <w:pPr>
        <w:spacing w:line="360" w:lineRule="auto"/>
        <w:jc w:val="center"/>
        <w:outlineLvl w:val="2"/>
        <w:rPr>
          <w:rFonts w:ascii="仿宋" w:hAnsi="仿宋" w:eastAsia="仿宋" w:cs="Arial"/>
          <w:b/>
          <w:bCs/>
          <w:color w:val="auto"/>
          <w:sz w:val="32"/>
          <w:szCs w:val="32"/>
          <w:highlight w:val="none"/>
        </w:rPr>
      </w:pPr>
      <w:bookmarkStart w:id="86" w:name="_Toc308164824"/>
      <w:r>
        <w:rPr>
          <w:rFonts w:hint="eastAsia" w:ascii="仿宋" w:hAnsi="仿宋" w:eastAsia="仿宋" w:cs="Arial"/>
          <w:b/>
          <w:bCs/>
          <w:color w:val="auto"/>
          <w:sz w:val="32"/>
          <w:szCs w:val="32"/>
          <w:highlight w:val="none"/>
        </w:rPr>
        <w:t>一、报价函</w:t>
      </w:r>
    </w:p>
    <w:p w14:paraId="24538F80">
      <w:pPr>
        <w:spacing w:line="360" w:lineRule="auto"/>
        <w:jc w:val="center"/>
        <w:rPr>
          <w:rFonts w:ascii="仿宋" w:hAnsi="仿宋" w:eastAsia="仿宋"/>
          <w:color w:val="auto"/>
          <w:sz w:val="24"/>
          <w:highlight w:val="none"/>
        </w:rPr>
      </w:pPr>
    </w:p>
    <w:p w14:paraId="3D982952">
      <w:pPr>
        <w:spacing w:line="360" w:lineRule="auto"/>
        <w:rPr>
          <w:rFonts w:ascii="仿宋" w:hAnsi="仿宋" w:eastAsia="仿宋"/>
          <w:color w:val="auto"/>
          <w:sz w:val="24"/>
          <w:highlight w:val="none"/>
        </w:rPr>
      </w:pPr>
      <w:r>
        <w:rPr>
          <w:rFonts w:hint="eastAsia" w:ascii="仿宋" w:hAnsi="仿宋" w:eastAsia="仿宋"/>
          <w:color w:val="auto"/>
          <w:sz w:val="24"/>
          <w:highlight w:val="none"/>
        </w:rPr>
        <w:t>XXX（采购代理机构名称）：</w:t>
      </w:r>
    </w:p>
    <w:p w14:paraId="7DB75575">
      <w:pPr>
        <w:spacing w:line="360" w:lineRule="auto"/>
        <w:rPr>
          <w:rFonts w:ascii="仿宋" w:hAnsi="仿宋" w:eastAsia="仿宋"/>
          <w:color w:val="auto"/>
          <w:sz w:val="24"/>
          <w:highlight w:val="none"/>
        </w:rPr>
      </w:pPr>
      <w:r>
        <w:rPr>
          <w:rFonts w:hint="eastAsia" w:ascii="仿宋" w:hAnsi="仿宋" w:eastAsia="仿宋"/>
          <w:color w:val="auto"/>
          <w:sz w:val="24"/>
          <w:highlight w:val="none"/>
        </w:rPr>
        <w:t>1.我方己仔细研究了</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（项目名称）谈判文件的全部内容，愿意以人民币（大写）</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）的总报价，工期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日历天，按合同约定实施和完成承包工程，修补工程中的任何缺陷，工程质量达到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p>
    <w:p w14:paraId="479DB9C8">
      <w:pPr>
        <w:spacing w:line="360" w:lineRule="auto"/>
        <w:rPr>
          <w:rFonts w:ascii="仿宋" w:hAnsi="仿宋" w:eastAsia="仿宋"/>
          <w:color w:val="auto"/>
          <w:sz w:val="24"/>
          <w:highlight w:val="none"/>
        </w:rPr>
      </w:pPr>
      <w:r>
        <w:rPr>
          <w:rFonts w:hint="eastAsia" w:ascii="仿宋" w:hAnsi="仿宋" w:eastAsia="仿宋"/>
          <w:color w:val="auto"/>
          <w:sz w:val="24"/>
          <w:highlight w:val="none"/>
        </w:rPr>
        <w:t>2.我方承诺在响应文件有效期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天内不修改、撤销响应文件。</w:t>
      </w:r>
    </w:p>
    <w:p w14:paraId="294234ED">
      <w:pPr>
        <w:spacing w:line="360" w:lineRule="auto"/>
        <w:rPr>
          <w:rFonts w:ascii="仿宋" w:hAnsi="仿宋" w:eastAsia="仿宋"/>
          <w:color w:val="auto"/>
          <w:sz w:val="24"/>
          <w:highlight w:val="none"/>
        </w:rPr>
      </w:pPr>
      <w:r>
        <w:rPr>
          <w:rFonts w:hint="eastAsia" w:ascii="仿宋" w:hAnsi="仿宋" w:eastAsia="仿宋"/>
          <w:color w:val="auto"/>
          <w:sz w:val="24"/>
          <w:highlight w:val="none"/>
        </w:rPr>
        <w:t>3.如我方成交：</w:t>
      </w:r>
    </w:p>
    <w:p w14:paraId="65E857D9">
      <w:pPr>
        <w:spacing w:line="360" w:lineRule="auto"/>
        <w:ind w:firstLine="120" w:firstLineChars="50"/>
        <w:rPr>
          <w:rFonts w:ascii="仿宋" w:hAnsi="仿宋" w:eastAsia="仿宋"/>
          <w:color w:val="auto"/>
          <w:sz w:val="24"/>
          <w:highlight w:val="none"/>
        </w:rPr>
      </w:pPr>
      <w:r>
        <w:rPr>
          <w:rFonts w:hint="eastAsia" w:ascii="仿宋" w:hAnsi="仿宋" w:eastAsia="仿宋"/>
          <w:color w:val="auto"/>
          <w:sz w:val="24"/>
          <w:highlight w:val="none"/>
        </w:rPr>
        <w:t>(l）我方承诺在收到成交通知书后，在规定的期限内与采购</w:t>
      </w:r>
      <w:r>
        <w:rPr>
          <w:rFonts w:ascii="仿宋" w:hAnsi="仿宋" w:eastAsia="仿宋"/>
          <w:color w:val="auto"/>
          <w:sz w:val="24"/>
          <w:highlight w:val="none"/>
        </w:rPr>
        <w:t>人</w:t>
      </w:r>
      <w:r>
        <w:rPr>
          <w:rFonts w:hint="eastAsia" w:ascii="仿宋" w:hAnsi="仿宋" w:eastAsia="仿宋"/>
          <w:color w:val="auto"/>
          <w:sz w:val="24"/>
          <w:highlight w:val="none"/>
        </w:rPr>
        <w:t>签订合同。</w:t>
      </w:r>
    </w:p>
    <w:p w14:paraId="61467B1C">
      <w:pPr>
        <w:spacing w:line="360" w:lineRule="auto"/>
        <w:rPr>
          <w:rFonts w:ascii="仿宋" w:hAnsi="仿宋" w:eastAsia="仿宋"/>
          <w:color w:val="auto"/>
          <w:sz w:val="24"/>
          <w:highlight w:val="none"/>
        </w:rPr>
      </w:pPr>
      <w:r>
        <w:rPr>
          <w:rFonts w:hint="eastAsia" w:ascii="仿宋" w:hAnsi="仿宋" w:eastAsia="仿宋"/>
          <w:color w:val="auto"/>
          <w:sz w:val="24"/>
          <w:highlight w:val="none"/>
        </w:rPr>
        <w:t>（2）我方承诺按照谈判文件规定向采购</w:t>
      </w:r>
      <w:r>
        <w:rPr>
          <w:rFonts w:ascii="仿宋" w:hAnsi="仿宋" w:eastAsia="仿宋"/>
          <w:color w:val="auto"/>
          <w:sz w:val="24"/>
          <w:highlight w:val="none"/>
        </w:rPr>
        <w:t>人</w:t>
      </w:r>
      <w:r>
        <w:rPr>
          <w:rFonts w:hint="eastAsia" w:ascii="仿宋" w:hAnsi="仿宋" w:eastAsia="仿宋"/>
          <w:color w:val="auto"/>
          <w:sz w:val="24"/>
          <w:highlight w:val="none"/>
        </w:rPr>
        <w:t>递交履约担保。</w:t>
      </w:r>
    </w:p>
    <w:p w14:paraId="0F81CD39">
      <w:pPr>
        <w:spacing w:line="360" w:lineRule="auto"/>
        <w:rPr>
          <w:rFonts w:ascii="仿宋" w:hAnsi="仿宋" w:eastAsia="仿宋"/>
          <w:color w:val="auto"/>
          <w:sz w:val="24"/>
          <w:highlight w:val="none"/>
        </w:rPr>
      </w:pPr>
      <w:r>
        <w:rPr>
          <w:rFonts w:hint="eastAsia" w:ascii="仿宋" w:hAnsi="仿宋" w:eastAsia="仿宋"/>
          <w:color w:val="auto"/>
          <w:sz w:val="24"/>
          <w:highlight w:val="none"/>
        </w:rPr>
        <w:t>（3）我方将严格履行采购合同规定的责任和义务。</w:t>
      </w:r>
    </w:p>
    <w:p w14:paraId="4C58F8CD">
      <w:pPr>
        <w:spacing w:line="360" w:lineRule="auto"/>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4</w:t>
      </w:r>
      <w:r>
        <w:rPr>
          <w:rFonts w:hint="eastAsia" w:ascii="仿宋" w:hAnsi="仿宋" w:eastAsia="仿宋"/>
          <w:color w:val="auto"/>
          <w:sz w:val="24"/>
          <w:highlight w:val="none"/>
        </w:rPr>
        <w:t>）我方愿意提供贵单位可能另外要求的，与谈判报价有关的文件资料，并保证我方已提供和将要提供的文件资料是真实、准确的。</w:t>
      </w:r>
    </w:p>
    <w:p w14:paraId="6CC56D60">
      <w:pPr>
        <w:spacing w:line="360" w:lineRule="auto"/>
        <w:rPr>
          <w:rFonts w:ascii="仿宋" w:hAnsi="仿宋" w:eastAsia="仿宋"/>
          <w:color w:val="auto"/>
          <w:sz w:val="24"/>
          <w:highlight w:val="none"/>
        </w:rPr>
      </w:pPr>
      <w:r>
        <w:rPr>
          <w:rFonts w:hint="eastAsia" w:ascii="仿宋" w:hAnsi="仿宋" w:eastAsia="仿宋"/>
          <w:color w:val="auto"/>
          <w:sz w:val="24"/>
          <w:highlight w:val="none"/>
        </w:rPr>
        <w:t>（</w:t>
      </w:r>
      <w:r>
        <w:rPr>
          <w:rFonts w:ascii="仿宋" w:hAnsi="仿宋" w:eastAsia="仿宋"/>
          <w:color w:val="auto"/>
          <w:sz w:val="24"/>
          <w:highlight w:val="none"/>
        </w:rPr>
        <w:t>5</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（其他补充说明）。</w:t>
      </w:r>
    </w:p>
    <w:p w14:paraId="3BDFAF03">
      <w:pPr>
        <w:adjustRightInd w:val="0"/>
        <w:spacing w:line="360" w:lineRule="auto"/>
        <w:ind w:firstLine="480" w:firstLineChars="200"/>
        <w:jc w:val="left"/>
        <w:rPr>
          <w:rFonts w:ascii="仿宋" w:hAnsi="仿宋" w:eastAsia="仿宋"/>
          <w:color w:val="auto"/>
          <w:sz w:val="24"/>
          <w:highlight w:val="none"/>
        </w:rPr>
      </w:pPr>
    </w:p>
    <w:p w14:paraId="2FB6B1A5">
      <w:pPr>
        <w:adjustRightInd w:val="0"/>
        <w:spacing w:line="360" w:lineRule="auto"/>
        <w:ind w:firstLine="480" w:firstLineChars="200"/>
        <w:jc w:val="left"/>
        <w:rPr>
          <w:rFonts w:ascii="仿宋" w:hAnsi="仿宋" w:eastAsia="仿宋"/>
          <w:color w:val="auto"/>
          <w:sz w:val="24"/>
          <w:highlight w:val="none"/>
        </w:rPr>
      </w:pPr>
    </w:p>
    <w:p w14:paraId="62134FEB">
      <w:pPr>
        <w:adjustRightIn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598752D8">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w:t>
      </w:r>
    </w:p>
    <w:p w14:paraId="5C9424B5">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通讯地址：XXX</w:t>
      </w:r>
    </w:p>
    <w:p w14:paraId="12BD6581">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邮政编码：XXX</w:t>
      </w:r>
    </w:p>
    <w:p w14:paraId="5BC02600">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联系电话：XXX</w:t>
      </w:r>
    </w:p>
    <w:p w14:paraId="6DB27CF7">
      <w:pPr>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rPr>
        <w:t>传    真：XXX</w:t>
      </w:r>
    </w:p>
    <w:p w14:paraId="5081A105">
      <w:pPr>
        <w:spacing w:line="360" w:lineRule="auto"/>
        <w:ind w:firstLine="470" w:firstLineChars="196"/>
        <w:rPr>
          <w:rFonts w:ascii="仿宋" w:hAnsi="仿宋" w:eastAsia="仿宋"/>
          <w:b/>
          <w:color w:val="auto"/>
          <w:sz w:val="32"/>
          <w:szCs w:val="32"/>
          <w:highlight w:val="none"/>
        </w:rPr>
      </w:pPr>
      <w:r>
        <w:rPr>
          <w:rFonts w:hint="eastAsia" w:ascii="仿宋" w:hAnsi="仿宋" w:eastAsia="仿宋"/>
          <w:color w:val="auto"/>
          <w:sz w:val="24"/>
          <w:highlight w:val="none"/>
        </w:rPr>
        <w:t>日    期：XXX年XXX月XXX日</w:t>
      </w:r>
      <w:r>
        <w:rPr>
          <w:rFonts w:hint="eastAsia" w:ascii="仿宋" w:hAnsi="仿宋" w:eastAsia="仿宋"/>
          <w:b/>
          <w:color w:val="auto"/>
          <w:sz w:val="32"/>
          <w:szCs w:val="32"/>
          <w:highlight w:val="none"/>
        </w:rPr>
        <w:br w:type="page"/>
      </w:r>
      <w:r>
        <w:rPr>
          <w:rFonts w:hint="eastAsia" w:ascii="仿宋" w:hAnsi="仿宋" w:eastAsia="仿宋"/>
          <w:b/>
          <w:color w:val="auto"/>
          <w:sz w:val="32"/>
          <w:szCs w:val="32"/>
          <w:highlight w:val="none"/>
        </w:rPr>
        <w:t>格式2-3</w:t>
      </w:r>
    </w:p>
    <w:p w14:paraId="2FEFE9F9">
      <w:pPr>
        <w:widowControl/>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w:t>
      </w:r>
      <w:r>
        <w:rPr>
          <w:rFonts w:ascii="仿宋" w:hAnsi="仿宋" w:eastAsia="仿宋"/>
          <w:b/>
          <w:color w:val="auto"/>
          <w:sz w:val="32"/>
          <w:szCs w:val="32"/>
          <w:highlight w:val="none"/>
        </w:rPr>
        <w:t>、</w:t>
      </w:r>
      <w:r>
        <w:rPr>
          <w:rFonts w:hint="eastAsia" w:ascii="仿宋" w:hAnsi="仿宋" w:eastAsia="仿宋"/>
          <w:b/>
          <w:color w:val="auto"/>
          <w:sz w:val="32"/>
          <w:szCs w:val="32"/>
          <w:highlight w:val="none"/>
        </w:rPr>
        <w:t>承诺函（实质性要求）</w:t>
      </w:r>
    </w:p>
    <w:p w14:paraId="5A10D030">
      <w:pPr>
        <w:pStyle w:val="74"/>
        <w:ind w:firstLine="480"/>
        <w:rPr>
          <w:color w:val="auto"/>
          <w:highlight w:val="none"/>
        </w:rPr>
      </w:pPr>
    </w:p>
    <w:p w14:paraId="7DF65B44">
      <w:pPr>
        <w:rPr>
          <w:rFonts w:ascii="仿宋" w:hAnsi="仿宋" w:eastAsia="仿宋"/>
          <w:color w:val="auto"/>
          <w:sz w:val="24"/>
          <w:highlight w:val="none"/>
        </w:rPr>
      </w:pPr>
      <w:r>
        <w:rPr>
          <w:rFonts w:hint="eastAsia" w:ascii="仿宋" w:hAnsi="仿宋" w:eastAsia="仿宋"/>
          <w:color w:val="auto"/>
          <w:sz w:val="24"/>
          <w:highlight w:val="none"/>
        </w:rPr>
        <w:t>XXX（采购代理机构名称）：</w:t>
      </w:r>
    </w:p>
    <w:p w14:paraId="4923D9F9">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我方作为本次采购项目的供应商，根据谈判文件要求，现郑重承诺如下：</w:t>
      </w:r>
    </w:p>
    <w:p w14:paraId="150CC0A3">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一、我方已认真阅读并接受本项目</w:t>
      </w:r>
      <w:r>
        <w:rPr>
          <w:rFonts w:ascii="仿宋" w:hAnsi="仿宋" w:eastAsia="仿宋"/>
          <w:color w:val="auto"/>
          <w:sz w:val="24"/>
          <w:highlight w:val="none"/>
        </w:rPr>
        <w:t>谈判</w:t>
      </w:r>
      <w:r>
        <w:rPr>
          <w:rFonts w:hint="eastAsia" w:ascii="仿宋" w:hAnsi="仿宋" w:eastAsia="仿宋"/>
          <w:color w:val="auto"/>
          <w:sz w:val="24"/>
          <w:highlight w:val="none"/>
        </w:rPr>
        <w:t>文件第二章的全部实质性要求（含国家规定的强制采购范围）</w:t>
      </w:r>
      <w:r>
        <w:rPr>
          <w:rFonts w:ascii="仿宋" w:hAnsi="仿宋" w:eastAsia="仿宋"/>
          <w:color w:val="auto"/>
          <w:sz w:val="24"/>
          <w:highlight w:val="none"/>
        </w:rPr>
        <w:t>，如对谈判</w:t>
      </w:r>
      <w:r>
        <w:rPr>
          <w:rFonts w:hint="eastAsia" w:ascii="仿宋" w:hAnsi="仿宋" w:eastAsia="仿宋"/>
          <w:color w:val="auto"/>
          <w:sz w:val="24"/>
          <w:highlight w:val="none"/>
        </w:rPr>
        <w:t>文件</w:t>
      </w:r>
      <w:r>
        <w:rPr>
          <w:rFonts w:ascii="仿宋" w:hAnsi="仿宋" w:eastAsia="仿宋"/>
          <w:color w:val="auto"/>
          <w:sz w:val="24"/>
          <w:highlight w:val="none"/>
        </w:rPr>
        <w:t>有异议，</w:t>
      </w:r>
      <w:r>
        <w:rPr>
          <w:rFonts w:hint="eastAsia" w:ascii="仿宋" w:hAnsi="仿宋" w:eastAsia="仿宋"/>
          <w:color w:val="auto"/>
          <w:sz w:val="24"/>
          <w:highlight w:val="none"/>
        </w:rPr>
        <w:t>已</w:t>
      </w:r>
      <w:r>
        <w:rPr>
          <w:rFonts w:ascii="仿宋" w:hAnsi="仿宋" w:eastAsia="仿宋"/>
          <w:color w:val="auto"/>
          <w:sz w:val="24"/>
          <w:highlight w:val="none"/>
        </w:rPr>
        <w:t>依法进行维权救济，不存在对谈判</w:t>
      </w:r>
      <w:r>
        <w:rPr>
          <w:rFonts w:hint="eastAsia" w:ascii="仿宋" w:hAnsi="仿宋" w:eastAsia="仿宋"/>
          <w:color w:val="auto"/>
          <w:sz w:val="24"/>
          <w:highlight w:val="none"/>
        </w:rPr>
        <w:t>文件</w:t>
      </w:r>
      <w:r>
        <w:rPr>
          <w:rFonts w:ascii="仿宋" w:hAnsi="仿宋" w:eastAsia="仿宋"/>
          <w:color w:val="auto"/>
          <w:sz w:val="24"/>
          <w:highlight w:val="none"/>
        </w:rPr>
        <w:t>有异议的同时又参加</w:t>
      </w:r>
      <w:r>
        <w:rPr>
          <w:rFonts w:hint="eastAsia" w:ascii="仿宋" w:hAnsi="仿宋" w:eastAsia="仿宋"/>
          <w:color w:val="auto"/>
          <w:sz w:val="24"/>
          <w:highlight w:val="none"/>
        </w:rPr>
        <w:t>谈判</w:t>
      </w:r>
      <w:r>
        <w:rPr>
          <w:rFonts w:ascii="仿宋" w:hAnsi="仿宋" w:eastAsia="仿宋"/>
          <w:color w:val="auto"/>
          <w:sz w:val="24"/>
          <w:highlight w:val="none"/>
        </w:rPr>
        <w:t>以求侥幸</w:t>
      </w:r>
      <w:r>
        <w:rPr>
          <w:rFonts w:hint="eastAsia" w:ascii="仿宋" w:hAnsi="仿宋" w:eastAsia="仿宋"/>
          <w:color w:val="auto"/>
          <w:sz w:val="24"/>
          <w:highlight w:val="none"/>
        </w:rPr>
        <w:t>成交</w:t>
      </w:r>
      <w:r>
        <w:rPr>
          <w:rFonts w:ascii="仿宋" w:hAnsi="仿宋" w:eastAsia="仿宋"/>
          <w:color w:val="auto"/>
          <w:sz w:val="24"/>
          <w:highlight w:val="none"/>
        </w:rPr>
        <w:t>或者为实现其他非法目的的行为。</w:t>
      </w:r>
    </w:p>
    <w:p w14:paraId="372C6A3E">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二、在参加本次采购活动中，不存在与单位负责人为同一人或者存在直接控股、管理关系的其他供应商参与同一合同项下的采购活动的行为。</w:t>
      </w:r>
    </w:p>
    <w:p w14:paraId="562B99CA">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三</w:t>
      </w:r>
      <w:r>
        <w:rPr>
          <w:rFonts w:ascii="仿宋" w:hAnsi="仿宋" w:eastAsia="仿宋"/>
          <w:color w:val="auto"/>
          <w:sz w:val="24"/>
          <w:highlight w:val="none"/>
        </w:rPr>
        <w:t>、</w:t>
      </w:r>
      <w:r>
        <w:rPr>
          <w:rFonts w:hint="eastAsia" w:ascii="仿宋" w:hAnsi="仿宋" w:eastAsia="仿宋"/>
          <w:color w:val="auto"/>
          <w:sz w:val="24"/>
          <w:highlight w:val="none"/>
        </w:rPr>
        <w:t>为采购项目提供整体设计、规范编制或者项目管理、监理、检测等服务的供应商，不得再参加该采购项目的其他采购活动，我方</w:t>
      </w:r>
      <w:r>
        <w:rPr>
          <w:rFonts w:ascii="仿宋" w:hAnsi="仿宋" w:eastAsia="仿宋"/>
          <w:color w:val="auto"/>
          <w:sz w:val="24"/>
          <w:highlight w:val="none"/>
        </w:rPr>
        <w:t>承诺</w:t>
      </w:r>
      <w:r>
        <w:rPr>
          <w:rFonts w:hint="eastAsia" w:ascii="仿宋" w:hAnsi="仿宋" w:eastAsia="仿宋"/>
          <w:color w:val="auto"/>
          <w:sz w:val="24"/>
          <w:highlight w:val="none"/>
        </w:rPr>
        <w:t>不属于此类禁止参加本项目的供应商</w:t>
      </w:r>
      <w:r>
        <w:rPr>
          <w:rFonts w:ascii="仿宋" w:hAnsi="仿宋" w:eastAsia="仿宋"/>
          <w:color w:val="auto"/>
          <w:sz w:val="24"/>
          <w:highlight w:val="none"/>
        </w:rPr>
        <w:t>。</w:t>
      </w:r>
    </w:p>
    <w:p w14:paraId="4DBE729E">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四、响应文件中提供的任何资料和技术、服务、商务等响应承诺情况都是真实的、有效的、合法的。</w:t>
      </w:r>
    </w:p>
    <w:p w14:paraId="7A86E05D">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如本项目谈判采购过程中需要提供样品，则我方提供的样品将作为成交后履约验收的参考，我方对提供样品的性能和质量负责，因样品存在缺陷或者不符合谈判文件要求导致未能成交的，我方愿意承担相应不利后果。</w:t>
      </w:r>
    </w:p>
    <w:p w14:paraId="7FF2C4AA">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六、国家或行业主管部门对采购产品的技术标准、质量标准和资格资质条件等有强制性规定的，我方</w:t>
      </w:r>
      <w:r>
        <w:rPr>
          <w:rFonts w:ascii="仿宋" w:hAnsi="仿宋" w:eastAsia="仿宋"/>
          <w:color w:val="auto"/>
          <w:sz w:val="24"/>
          <w:highlight w:val="none"/>
        </w:rPr>
        <w:t>承诺符合其要求。</w:t>
      </w:r>
    </w:p>
    <w:p w14:paraId="3E2208C7">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七、参加本次采购活动，我方完全同意谈判</w:t>
      </w:r>
      <w:r>
        <w:rPr>
          <w:rFonts w:ascii="仿宋" w:hAnsi="仿宋" w:eastAsia="仿宋"/>
          <w:color w:val="auto"/>
          <w:sz w:val="24"/>
          <w:highlight w:val="none"/>
        </w:rPr>
        <w:t>文件第二章关于</w:t>
      </w:r>
      <w:r>
        <w:rPr>
          <w:rFonts w:hint="eastAsia" w:ascii="仿宋" w:hAnsi="仿宋" w:eastAsia="仿宋"/>
          <w:color w:val="auto"/>
          <w:sz w:val="24"/>
          <w:highlight w:val="none"/>
        </w:rPr>
        <w:t>“谈判费用”、“合同</w:t>
      </w:r>
      <w:r>
        <w:rPr>
          <w:rFonts w:ascii="仿宋" w:hAnsi="仿宋" w:eastAsia="仿宋"/>
          <w:color w:val="auto"/>
          <w:sz w:val="24"/>
          <w:highlight w:val="none"/>
        </w:rPr>
        <w:t>分包</w:t>
      </w:r>
      <w:r>
        <w:rPr>
          <w:rFonts w:hint="eastAsia" w:ascii="仿宋" w:hAnsi="仿宋" w:eastAsia="仿宋"/>
          <w:color w:val="auto"/>
          <w:sz w:val="24"/>
          <w:highlight w:val="none"/>
        </w:rPr>
        <w:t>”、</w:t>
      </w:r>
      <w:r>
        <w:rPr>
          <w:rFonts w:ascii="仿宋" w:hAnsi="仿宋" w:eastAsia="仿宋"/>
          <w:color w:val="auto"/>
          <w:sz w:val="24"/>
          <w:highlight w:val="none"/>
        </w:rPr>
        <w:t>“</w:t>
      </w:r>
      <w:r>
        <w:rPr>
          <w:rFonts w:hint="eastAsia" w:ascii="仿宋" w:hAnsi="仿宋" w:eastAsia="仿宋"/>
          <w:color w:val="auto"/>
          <w:sz w:val="24"/>
          <w:highlight w:val="none"/>
        </w:rPr>
        <w:t>合同</w:t>
      </w:r>
      <w:r>
        <w:rPr>
          <w:rFonts w:ascii="仿宋" w:hAnsi="仿宋" w:eastAsia="仿宋"/>
          <w:color w:val="auto"/>
          <w:sz w:val="24"/>
          <w:highlight w:val="none"/>
        </w:rPr>
        <w:t>转包”</w:t>
      </w:r>
      <w:r>
        <w:rPr>
          <w:rFonts w:hint="eastAsia" w:ascii="仿宋" w:hAnsi="仿宋" w:eastAsia="仿宋"/>
          <w:color w:val="auto"/>
          <w:sz w:val="24"/>
          <w:highlight w:val="none"/>
        </w:rPr>
        <w:t>、</w:t>
      </w:r>
      <w:r>
        <w:rPr>
          <w:rFonts w:ascii="仿宋" w:hAnsi="仿宋" w:eastAsia="仿宋"/>
          <w:color w:val="auto"/>
          <w:sz w:val="24"/>
          <w:highlight w:val="none"/>
        </w:rPr>
        <w:t>“</w:t>
      </w:r>
      <w:r>
        <w:rPr>
          <w:rFonts w:hint="eastAsia" w:ascii="仿宋" w:hAnsi="仿宋" w:eastAsia="仿宋"/>
          <w:color w:val="auto"/>
          <w:sz w:val="24"/>
          <w:highlight w:val="none"/>
        </w:rPr>
        <w:t>国家规定的强制采购范围</w:t>
      </w:r>
      <w:r>
        <w:rPr>
          <w:rFonts w:ascii="仿宋" w:hAnsi="仿宋" w:eastAsia="仿宋"/>
          <w:color w:val="auto"/>
          <w:sz w:val="24"/>
          <w:highlight w:val="none"/>
        </w:rPr>
        <w:t>”</w:t>
      </w:r>
      <w:r>
        <w:rPr>
          <w:rFonts w:hint="eastAsia" w:ascii="仿宋" w:hAnsi="仿宋" w:eastAsia="仿宋"/>
          <w:color w:val="auto"/>
          <w:sz w:val="24"/>
          <w:highlight w:val="none"/>
        </w:rPr>
        <w:t>的</w:t>
      </w:r>
      <w:r>
        <w:rPr>
          <w:rFonts w:ascii="仿宋" w:hAnsi="仿宋" w:eastAsia="仿宋"/>
          <w:color w:val="auto"/>
          <w:sz w:val="24"/>
          <w:highlight w:val="none"/>
        </w:rPr>
        <w:t>实质性要求</w:t>
      </w:r>
      <w:r>
        <w:rPr>
          <w:rFonts w:hint="eastAsia" w:ascii="仿宋" w:hAnsi="仿宋" w:eastAsia="仿宋"/>
          <w:color w:val="auto"/>
          <w:sz w:val="24"/>
          <w:highlight w:val="none"/>
        </w:rPr>
        <w:t>，</w:t>
      </w:r>
      <w:r>
        <w:rPr>
          <w:rFonts w:ascii="仿宋" w:hAnsi="仿宋" w:eastAsia="仿宋"/>
          <w:color w:val="auto"/>
          <w:sz w:val="24"/>
          <w:highlight w:val="none"/>
        </w:rPr>
        <w:t>并承诺严格按照</w:t>
      </w:r>
      <w:r>
        <w:rPr>
          <w:rFonts w:hint="eastAsia" w:ascii="仿宋" w:hAnsi="仿宋" w:eastAsia="仿宋"/>
          <w:color w:val="auto"/>
          <w:sz w:val="24"/>
          <w:highlight w:val="none"/>
        </w:rPr>
        <w:t>谈判</w:t>
      </w:r>
      <w:r>
        <w:rPr>
          <w:rFonts w:ascii="仿宋" w:hAnsi="仿宋" w:eastAsia="仿宋"/>
          <w:color w:val="auto"/>
          <w:sz w:val="24"/>
          <w:highlight w:val="none"/>
        </w:rPr>
        <w:t>文件要求</w:t>
      </w:r>
      <w:r>
        <w:rPr>
          <w:rFonts w:hint="eastAsia" w:ascii="仿宋" w:hAnsi="仿宋" w:eastAsia="仿宋"/>
          <w:color w:val="auto"/>
          <w:sz w:val="24"/>
          <w:highlight w:val="none"/>
        </w:rPr>
        <w:t>履行</w:t>
      </w:r>
      <w:r>
        <w:rPr>
          <w:rFonts w:ascii="仿宋" w:hAnsi="仿宋" w:eastAsia="仿宋"/>
          <w:color w:val="auto"/>
          <w:sz w:val="24"/>
          <w:highlight w:val="none"/>
        </w:rPr>
        <w:t>。</w:t>
      </w:r>
    </w:p>
    <w:p w14:paraId="2DCC6890">
      <w:pPr>
        <w:widowControl/>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八</w:t>
      </w:r>
      <w:r>
        <w:rPr>
          <w:rFonts w:ascii="仿宋" w:hAnsi="仿宋" w:eastAsia="仿宋"/>
          <w:color w:val="auto"/>
          <w:sz w:val="24"/>
          <w:highlight w:val="none"/>
        </w:rPr>
        <w:t>、</w:t>
      </w:r>
      <w:r>
        <w:rPr>
          <w:rFonts w:hint="eastAsia" w:ascii="仿宋" w:hAnsi="仿宋" w:eastAsia="仿宋"/>
          <w:color w:val="auto"/>
          <w:sz w:val="24"/>
          <w:highlight w:val="none"/>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知识成果，使用该知识成果后，我方</w:t>
      </w:r>
      <w:r>
        <w:rPr>
          <w:rFonts w:ascii="仿宋" w:hAnsi="仿宋" w:eastAsia="仿宋"/>
          <w:color w:val="auto"/>
          <w:sz w:val="24"/>
          <w:highlight w:val="none"/>
        </w:rPr>
        <w:t>承诺</w:t>
      </w:r>
      <w:r>
        <w:rPr>
          <w:rFonts w:hint="eastAsia" w:ascii="仿宋" w:hAnsi="仿宋" w:eastAsia="仿宋"/>
          <w:color w:val="auto"/>
          <w:sz w:val="24"/>
          <w:highlight w:val="none"/>
        </w:rPr>
        <w:t>提供开发接口和开发手册等技术文档，并提供无限期技术支持，采购人享有永久使用权（含采购人委托第三方在该项目后续开发的使用权）。如我方在项目实施过程中采用非自有的知识产权，则在报价中已包括合法获取该知识产权的相关费用。</w:t>
      </w:r>
    </w:p>
    <w:p w14:paraId="5EC55351">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我方对上述承诺的内容事项真实性负责。如经查实上述承诺的内容事项存在虚假，我方愿意接受以提供虚假材料谋取成交的法律责任。</w:t>
      </w:r>
    </w:p>
    <w:p w14:paraId="7217B495">
      <w:pPr>
        <w:rPr>
          <w:rFonts w:ascii="仿宋" w:hAnsi="仿宋" w:eastAsia="仿宋"/>
          <w:color w:val="auto"/>
          <w:sz w:val="24"/>
          <w:highlight w:val="none"/>
        </w:rPr>
      </w:pPr>
    </w:p>
    <w:p w14:paraId="10A27317">
      <w:pPr>
        <w:rPr>
          <w:rFonts w:ascii="仿宋" w:hAnsi="仿宋" w:eastAsia="仿宋"/>
          <w:color w:val="auto"/>
          <w:sz w:val="24"/>
          <w:highlight w:val="none"/>
        </w:rPr>
      </w:pPr>
    </w:p>
    <w:p w14:paraId="3D3B1ACB">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w:t>
      </w:r>
    </w:p>
    <w:p w14:paraId="6274AFAE">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供应商名称：XXXX（盖章）</w:t>
      </w:r>
    </w:p>
    <w:p w14:paraId="16797D93">
      <w:pPr>
        <w:ind w:firstLine="480" w:firstLineChars="200"/>
        <w:rPr>
          <w:rFonts w:ascii="仿宋" w:hAnsi="仿宋" w:eastAsia="仿宋"/>
          <w:color w:val="auto"/>
          <w:sz w:val="24"/>
          <w:highlight w:val="none"/>
        </w:rPr>
      </w:pPr>
      <w:r>
        <w:rPr>
          <w:rFonts w:hint="eastAsia" w:ascii="仿宋" w:hAnsi="仿宋" w:eastAsia="仿宋"/>
          <w:color w:val="auto"/>
          <w:sz w:val="24"/>
          <w:highlight w:val="none"/>
        </w:rPr>
        <w:t>日    期：XXX年XXX月XXX日</w:t>
      </w:r>
    </w:p>
    <w:p w14:paraId="489E7219">
      <w:pPr>
        <w:spacing w:line="36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br w:type="page"/>
      </w:r>
      <w:bookmarkEnd w:id="86"/>
      <w:bookmarkStart w:id="87" w:name="_Toc217446087"/>
      <w:r>
        <w:rPr>
          <w:rFonts w:hint="eastAsia" w:ascii="仿宋" w:hAnsi="仿宋" w:eastAsia="仿宋"/>
          <w:b/>
          <w:color w:val="auto"/>
          <w:sz w:val="28"/>
          <w:szCs w:val="28"/>
          <w:highlight w:val="none"/>
        </w:rPr>
        <w:t>格式2-4</w:t>
      </w:r>
    </w:p>
    <w:p w14:paraId="3B806677">
      <w:pPr>
        <w:pStyle w:val="74"/>
        <w:ind w:firstLine="480"/>
        <w:rPr>
          <w:color w:val="auto"/>
          <w:highlight w:val="none"/>
        </w:rPr>
      </w:pPr>
    </w:p>
    <w:p w14:paraId="3DEABEDB">
      <w:pPr>
        <w:pStyle w:val="76"/>
        <w:numPr>
          <w:ilvl w:val="0"/>
          <w:numId w:val="4"/>
        </w:numPr>
        <w:spacing w:line="360" w:lineRule="auto"/>
        <w:ind w:firstLineChars="0"/>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已标价工程量清单、施工</w:t>
      </w:r>
      <w:r>
        <w:rPr>
          <w:rFonts w:ascii="仿宋" w:hAnsi="仿宋" w:eastAsia="仿宋" w:cs="Arial"/>
          <w:b/>
          <w:bCs/>
          <w:color w:val="auto"/>
          <w:sz w:val="32"/>
          <w:szCs w:val="32"/>
          <w:highlight w:val="none"/>
        </w:rPr>
        <w:t>组织设计（</w:t>
      </w:r>
      <w:r>
        <w:rPr>
          <w:rFonts w:hint="eastAsia" w:ascii="仿宋" w:hAnsi="仿宋" w:eastAsia="仿宋" w:cs="Arial"/>
          <w:b/>
          <w:bCs/>
          <w:color w:val="auto"/>
          <w:sz w:val="32"/>
          <w:szCs w:val="32"/>
          <w:highlight w:val="none"/>
        </w:rPr>
        <w:t>实施</w:t>
      </w:r>
      <w:r>
        <w:rPr>
          <w:rFonts w:ascii="仿宋" w:hAnsi="仿宋" w:eastAsia="仿宋" w:cs="Arial"/>
          <w:b/>
          <w:bCs/>
          <w:color w:val="auto"/>
          <w:sz w:val="32"/>
          <w:szCs w:val="32"/>
          <w:highlight w:val="none"/>
        </w:rPr>
        <w:t>方案）</w:t>
      </w:r>
    </w:p>
    <w:p w14:paraId="6C08A48D">
      <w:pPr>
        <w:pStyle w:val="74"/>
        <w:ind w:firstLine="480"/>
        <w:rPr>
          <w:color w:val="auto"/>
          <w:highlight w:val="none"/>
        </w:rPr>
      </w:pPr>
    </w:p>
    <w:p w14:paraId="64ACF31F">
      <w:pPr>
        <w:widowControl/>
        <w:spacing w:line="360" w:lineRule="auto"/>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w:t>
      </w:r>
      <w:r>
        <w:rPr>
          <w:rFonts w:hint="eastAsia" w:ascii="仿宋" w:hAnsi="仿宋" w:eastAsia="仿宋"/>
          <w:color w:val="auto"/>
          <w:sz w:val="24"/>
          <w:highlight w:val="none"/>
        </w:rPr>
        <w:t>已标价工程量清单相关要求详见谈判文件“第二章 谈判须知”第16条关于报价的相关要求以及工程量清单总说明的相关要求。</w:t>
      </w:r>
    </w:p>
    <w:p w14:paraId="2DABCD82">
      <w:pPr>
        <w:widowControl/>
        <w:spacing w:line="360" w:lineRule="auto"/>
        <w:rPr>
          <w:rFonts w:ascii="仿宋" w:hAnsi="仿宋" w:eastAsia="仿宋"/>
          <w:color w:val="auto"/>
          <w:sz w:val="24"/>
          <w:highlight w:val="none"/>
        </w:rPr>
      </w:pPr>
      <w:r>
        <w:rPr>
          <w:rFonts w:hint="eastAsia" w:ascii="仿宋" w:hAnsi="仿宋" w:eastAsia="仿宋"/>
          <w:color w:val="auto"/>
          <w:sz w:val="24"/>
          <w:highlight w:val="none"/>
        </w:rPr>
        <w:t>2.施工组织设计（实施方案）格式及内容自拟。基本要求：编制时应采用文字并结合图表形式说明施工方案；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C6932DE">
      <w:pPr>
        <w:widowControl/>
        <w:spacing w:line="360" w:lineRule="auto"/>
        <w:rPr>
          <w:rFonts w:ascii="仿宋" w:hAnsi="仿宋" w:eastAsia="仿宋"/>
          <w:color w:val="auto"/>
          <w:szCs w:val="21"/>
          <w:highlight w:val="none"/>
        </w:rPr>
      </w:pPr>
      <w:r>
        <w:rPr>
          <w:rFonts w:ascii="仿宋" w:hAnsi="仿宋" w:eastAsia="仿宋"/>
          <w:color w:val="auto"/>
          <w:szCs w:val="21"/>
          <w:highlight w:val="none"/>
        </w:rPr>
        <w:br w:type="page"/>
      </w:r>
      <w:r>
        <w:rPr>
          <w:rFonts w:hint="eastAsia" w:ascii="仿宋" w:hAnsi="仿宋" w:eastAsia="仿宋"/>
          <w:b/>
          <w:color w:val="auto"/>
          <w:sz w:val="28"/>
          <w:szCs w:val="28"/>
          <w:highlight w:val="none"/>
        </w:rPr>
        <w:t>格式2-5</w:t>
      </w:r>
    </w:p>
    <w:p w14:paraId="69269669">
      <w:pPr>
        <w:spacing w:line="360" w:lineRule="auto"/>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四、供应商基本情况表</w:t>
      </w:r>
    </w:p>
    <w:p w14:paraId="56997EA8">
      <w:pPr>
        <w:spacing w:line="360" w:lineRule="auto"/>
        <w:jc w:val="center"/>
        <w:rPr>
          <w:rFonts w:ascii="仿宋" w:hAnsi="仿宋" w:eastAsia="仿宋" w:cs="Arial"/>
          <w:b/>
          <w:bCs/>
          <w:color w:val="auto"/>
          <w:sz w:val="32"/>
          <w:szCs w:val="32"/>
          <w:highlight w:val="none"/>
        </w:rPr>
      </w:pPr>
    </w:p>
    <w:tbl>
      <w:tblPr>
        <w:tblStyle w:val="4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79A3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44F44F8">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供应商名称</w:t>
            </w:r>
          </w:p>
        </w:tc>
        <w:tc>
          <w:tcPr>
            <w:tcW w:w="7560" w:type="dxa"/>
            <w:gridSpan w:val="11"/>
            <w:vAlign w:val="center"/>
          </w:tcPr>
          <w:p w14:paraId="793E1184">
            <w:pPr>
              <w:spacing w:line="360" w:lineRule="auto"/>
              <w:jc w:val="center"/>
              <w:rPr>
                <w:rFonts w:ascii="仿宋" w:hAnsi="仿宋" w:eastAsia="仿宋" w:cs="Arial"/>
                <w:bCs/>
                <w:color w:val="auto"/>
                <w:szCs w:val="21"/>
                <w:highlight w:val="none"/>
              </w:rPr>
            </w:pPr>
          </w:p>
        </w:tc>
      </w:tr>
      <w:tr w14:paraId="31B5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BE14196">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注册地址</w:t>
            </w:r>
          </w:p>
        </w:tc>
        <w:tc>
          <w:tcPr>
            <w:tcW w:w="4680" w:type="dxa"/>
            <w:gridSpan w:val="6"/>
            <w:shd w:val="clear" w:color="auto" w:fill="auto"/>
            <w:vAlign w:val="center"/>
          </w:tcPr>
          <w:p w14:paraId="735FE264">
            <w:pPr>
              <w:spacing w:line="360" w:lineRule="auto"/>
              <w:jc w:val="center"/>
              <w:rPr>
                <w:rFonts w:ascii="仿宋" w:hAnsi="仿宋" w:eastAsia="仿宋" w:cs="Arial"/>
                <w:bCs/>
                <w:color w:val="auto"/>
                <w:szCs w:val="21"/>
                <w:highlight w:val="none"/>
              </w:rPr>
            </w:pPr>
          </w:p>
        </w:tc>
        <w:tc>
          <w:tcPr>
            <w:tcW w:w="1260" w:type="dxa"/>
            <w:gridSpan w:val="3"/>
            <w:shd w:val="clear" w:color="auto" w:fill="auto"/>
            <w:vAlign w:val="center"/>
          </w:tcPr>
          <w:p w14:paraId="01C37127">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邮政编码</w:t>
            </w:r>
          </w:p>
        </w:tc>
        <w:tc>
          <w:tcPr>
            <w:tcW w:w="1620" w:type="dxa"/>
            <w:gridSpan w:val="2"/>
            <w:vAlign w:val="center"/>
          </w:tcPr>
          <w:p w14:paraId="3B844FCA">
            <w:pPr>
              <w:spacing w:line="360" w:lineRule="auto"/>
              <w:jc w:val="center"/>
              <w:rPr>
                <w:rFonts w:ascii="仿宋" w:hAnsi="仿宋" w:eastAsia="仿宋" w:cs="Arial"/>
                <w:bCs/>
                <w:color w:val="auto"/>
                <w:szCs w:val="21"/>
                <w:highlight w:val="none"/>
              </w:rPr>
            </w:pPr>
          </w:p>
        </w:tc>
      </w:tr>
      <w:tr w14:paraId="7374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5A7E99F">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联系方式</w:t>
            </w:r>
          </w:p>
        </w:tc>
        <w:tc>
          <w:tcPr>
            <w:tcW w:w="1080" w:type="dxa"/>
            <w:shd w:val="clear" w:color="auto" w:fill="auto"/>
            <w:vAlign w:val="center"/>
          </w:tcPr>
          <w:p w14:paraId="6A9FDAC9">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联系人</w:t>
            </w:r>
          </w:p>
        </w:tc>
        <w:tc>
          <w:tcPr>
            <w:tcW w:w="3600" w:type="dxa"/>
            <w:gridSpan w:val="5"/>
            <w:shd w:val="clear" w:color="auto" w:fill="auto"/>
            <w:vAlign w:val="center"/>
          </w:tcPr>
          <w:p w14:paraId="68949A55">
            <w:pPr>
              <w:spacing w:line="360" w:lineRule="auto"/>
              <w:jc w:val="center"/>
              <w:rPr>
                <w:rFonts w:ascii="仿宋" w:hAnsi="仿宋" w:eastAsia="仿宋" w:cs="Arial"/>
                <w:bCs/>
                <w:color w:val="auto"/>
                <w:szCs w:val="21"/>
                <w:highlight w:val="none"/>
              </w:rPr>
            </w:pPr>
          </w:p>
        </w:tc>
        <w:tc>
          <w:tcPr>
            <w:tcW w:w="1260" w:type="dxa"/>
            <w:gridSpan w:val="3"/>
            <w:shd w:val="clear" w:color="auto" w:fill="auto"/>
            <w:vAlign w:val="center"/>
          </w:tcPr>
          <w:p w14:paraId="0ABE7801">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联系电话</w:t>
            </w:r>
          </w:p>
        </w:tc>
        <w:tc>
          <w:tcPr>
            <w:tcW w:w="1620" w:type="dxa"/>
            <w:gridSpan w:val="2"/>
            <w:vAlign w:val="center"/>
          </w:tcPr>
          <w:p w14:paraId="03F54CF8">
            <w:pPr>
              <w:spacing w:line="360" w:lineRule="auto"/>
              <w:jc w:val="center"/>
              <w:rPr>
                <w:rFonts w:ascii="仿宋" w:hAnsi="仿宋" w:eastAsia="仿宋" w:cs="Arial"/>
                <w:bCs/>
                <w:color w:val="auto"/>
                <w:szCs w:val="21"/>
                <w:highlight w:val="none"/>
              </w:rPr>
            </w:pPr>
          </w:p>
        </w:tc>
      </w:tr>
      <w:tr w14:paraId="616A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C0C5C53">
            <w:pPr>
              <w:spacing w:line="360" w:lineRule="auto"/>
              <w:jc w:val="center"/>
              <w:rPr>
                <w:rFonts w:ascii="仿宋" w:hAnsi="仿宋" w:eastAsia="仿宋" w:cs="Arial"/>
                <w:bCs/>
                <w:color w:val="auto"/>
                <w:szCs w:val="21"/>
                <w:highlight w:val="none"/>
              </w:rPr>
            </w:pPr>
          </w:p>
        </w:tc>
        <w:tc>
          <w:tcPr>
            <w:tcW w:w="1080" w:type="dxa"/>
            <w:shd w:val="clear" w:color="auto" w:fill="auto"/>
            <w:vAlign w:val="center"/>
          </w:tcPr>
          <w:p w14:paraId="2A6373D7">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传真</w:t>
            </w:r>
          </w:p>
        </w:tc>
        <w:tc>
          <w:tcPr>
            <w:tcW w:w="3600" w:type="dxa"/>
            <w:gridSpan w:val="5"/>
            <w:shd w:val="clear" w:color="auto" w:fill="auto"/>
            <w:vAlign w:val="center"/>
          </w:tcPr>
          <w:p w14:paraId="5699563E">
            <w:pPr>
              <w:spacing w:line="360" w:lineRule="auto"/>
              <w:jc w:val="center"/>
              <w:rPr>
                <w:rFonts w:ascii="仿宋" w:hAnsi="仿宋" w:eastAsia="仿宋" w:cs="Arial"/>
                <w:bCs/>
                <w:color w:val="auto"/>
                <w:szCs w:val="21"/>
                <w:highlight w:val="none"/>
              </w:rPr>
            </w:pPr>
          </w:p>
        </w:tc>
        <w:tc>
          <w:tcPr>
            <w:tcW w:w="1260" w:type="dxa"/>
            <w:gridSpan w:val="3"/>
            <w:shd w:val="clear" w:color="auto" w:fill="auto"/>
            <w:vAlign w:val="center"/>
          </w:tcPr>
          <w:p w14:paraId="7E93C809">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网址</w:t>
            </w:r>
          </w:p>
        </w:tc>
        <w:tc>
          <w:tcPr>
            <w:tcW w:w="1620" w:type="dxa"/>
            <w:gridSpan w:val="2"/>
            <w:vAlign w:val="center"/>
          </w:tcPr>
          <w:p w14:paraId="7E192AFF">
            <w:pPr>
              <w:spacing w:line="360" w:lineRule="auto"/>
              <w:jc w:val="center"/>
              <w:rPr>
                <w:rFonts w:ascii="仿宋" w:hAnsi="仿宋" w:eastAsia="仿宋" w:cs="Arial"/>
                <w:bCs/>
                <w:color w:val="auto"/>
                <w:szCs w:val="21"/>
                <w:highlight w:val="none"/>
              </w:rPr>
            </w:pPr>
          </w:p>
        </w:tc>
      </w:tr>
      <w:tr w14:paraId="2E0A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214F2839">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组织结构</w:t>
            </w:r>
          </w:p>
        </w:tc>
        <w:tc>
          <w:tcPr>
            <w:tcW w:w="7560" w:type="dxa"/>
            <w:gridSpan w:val="11"/>
            <w:vAlign w:val="center"/>
          </w:tcPr>
          <w:p w14:paraId="52772304">
            <w:pPr>
              <w:spacing w:line="360" w:lineRule="auto"/>
              <w:jc w:val="center"/>
              <w:rPr>
                <w:rFonts w:ascii="仿宋" w:hAnsi="仿宋" w:eastAsia="仿宋" w:cs="Arial"/>
                <w:bCs/>
                <w:color w:val="auto"/>
                <w:szCs w:val="21"/>
                <w:highlight w:val="none"/>
              </w:rPr>
            </w:pPr>
          </w:p>
        </w:tc>
      </w:tr>
      <w:tr w14:paraId="0401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7374A17">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法定代表人/单位负责人</w:t>
            </w:r>
          </w:p>
        </w:tc>
        <w:tc>
          <w:tcPr>
            <w:tcW w:w="1260" w:type="dxa"/>
            <w:gridSpan w:val="2"/>
            <w:shd w:val="clear" w:color="auto" w:fill="auto"/>
            <w:vAlign w:val="center"/>
          </w:tcPr>
          <w:p w14:paraId="604DCDC6">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姓名</w:t>
            </w:r>
          </w:p>
        </w:tc>
        <w:tc>
          <w:tcPr>
            <w:tcW w:w="1260" w:type="dxa"/>
            <w:shd w:val="clear" w:color="auto" w:fill="auto"/>
            <w:vAlign w:val="center"/>
          </w:tcPr>
          <w:p w14:paraId="40E85A77">
            <w:pPr>
              <w:spacing w:line="360" w:lineRule="auto"/>
              <w:jc w:val="center"/>
              <w:rPr>
                <w:rFonts w:ascii="仿宋" w:hAnsi="仿宋" w:eastAsia="仿宋" w:cs="Arial"/>
                <w:bCs/>
                <w:color w:val="auto"/>
                <w:szCs w:val="21"/>
                <w:highlight w:val="none"/>
              </w:rPr>
            </w:pPr>
          </w:p>
        </w:tc>
        <w:tc>
          <w:tcPr>
            <w:tcW w:w="1260" w:type="dxa"/>
            <w:shd w:val="clear" w:color="auto" w:fill="auto"/>
            <w:vAlign w:val="center"/>
          </w:tcPr>
          <w:p w14:paraId="0B25287D">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技术职称</w:t>
            </w:r>
          </w:p>
        </w:tc>
        <w:tc>
          <w:tcPr>
            <w:tcW w:w="1260" w:type="dxa"/>
            <w:gridSpan w:val="3"/>
            <w:shd w:val="clear" w:color="auto" w:fill="auto"/>
            <w:vAlign w:val="center"/>
          </w:tcPr>
          <w:p w14:paraId="094135F2">
            <w:pPr>
              <w:spacing w:line="360" w:lineRule="auto"/>
              <w:jc w:val="center"/>
              <w:rPr>
                <w:rFonts w:ascii="仿宋" w:hAnsi="仿宋" w:eastAsia="仿宋" w:cs="Arial"/>
                <w:bCs/>
                <w:color w:val="auto"/>
                <w:szCs w:val="21"/>
                <w:highlight w:val="none"/>
              </w:rPr>
            </w:pPr>
          </w:p>
        </w:tc>
        <w:tc>
          <w:tcPr>
            <w:tcW w:w="1260" w:type="dxa"/>
            <w:gridSpan w:val="3"/>
            <w:shd w:val="clear" w:color="auto" w:fill="auto"/>
            <w:vAlign w:val="center"/>
          </w:tcPr>
          <w:p w14:paraId="54CBFBA6">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联系电话</w:t>
            </w:r>
          </w:p>
        </w:tc>
        <w:tc>
          <w:tcPr>
            <w:tcW w:w="1260" w:type="dxa"/>
            <w:shd w:val="clear" w:color="auto" w:fill="auto"/>
            <w:vAlign w:val="center"/>
          </w:tcPr>
          <w:p w14:paraId="2313DFD2">
            <w:pPr>
              <w:spacing w:line="360" w:lineRule="auto"/>
              <w:jc w:val="center"/>
              <w:rPr>
                <w:rFonts w:ascii="仿宋" w:hAnsi="仿宋" w:eastAsia="仿宋" w:cs="Arial"/>
                <w:bCs/>
                <w:color w:val="auto"/>
                <w:szCs w:val="21"/>
                <w:highlight w:val="none"/>
              </w:rPr>
            </w:pPr>
          </w:p>
        </w:tc>
      </w:tr>
      <w:tr w14:paraId="5FF9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248FA102">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技术负责人</w:t>
            </w:r>
          </w:p>
        </w:tc>
        <w:tc>
          <w:tcPr>
            <w:tcW w:w="1260" w:type="dxa"/>
            <w:gridSpan w:val="2"/>
            <w:shd w:val="clear" w:color="auto" w:fill="auto"/>
            <w:vAlign w:val="center"/>
          </w:tcPr>
          <w:p w14:paraId="14934006">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姓名</w:t>
            </w:r>
          </w:p>
        </w:tc>
        <w:tc>
          <w:tcPr>
            <w:tcW w:w="1260" w:type="dxa"/>
            <w:shd w:val="clear" w:color="auto" w:fill="auto"/>
            <w:vAlign w:val="center"/>
          </w:tcPr>
          <w:p w14:paraId="68F76B8D">
            <w:pPr>
              <w:spacing w:line="360" w:lineRule="auto"/>
              <w:jc w:val="center"/>
              <w:rPr>
                <w:rFonts w:ascii="仿宋" w:hAnsi="仿宋" w:eastAsia="仿宋" w:cs="Arial"/>
                <w:bCs/>
                <w:color w:val="auto"/>
                <w:szCs w:val="21"/>
                <w:highlight w:val="none"/>
              </w:rPr>
            </w:pPr>
          </w:p>
        </w:tc>
        <w:tc>
          <w:tcPr>
            <w:tcW w:w="1260" w:type="dxa"/>
            <w:shd w:val="clear" w:color="auto" w:fill="auto"/>
            <w:vAlign w:val="center"/>
          </w:tcPr>
          <w:p w14:paraId="5D819B5D">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技术职称</w:t>
            </w:r>
          </w:p>
        </w:tc>
        <w:tc>
          <w:tcPr>
            <w:tcW w:w="1260" w:type="dxa"/>
            <w:gridSpan w:val="3"/>
            <w:shd w:val="clear" w:color="auto" w:fill="auto"/>
            <w:vAlign w:val="center"/>
          </w:tcPr>
          <w:p w14:paraId="4FEE9ADF">
            <w:pPr>
              <w:spacing w:line="360" w:lineRule="auto"/>
              <w:jc w:val="center"/>
              <w:rPr>
                <w:rFonts w:ascii="仿宋" w:hAnsi="仿宋" w:eastAsia="仿宋" w:cs="Arial"/>
                <w:bCs/>
                <w:color w:val="auto"/>
                <w:szCs w:val="21"/>
                <w:highlight w:val="none"/>
              </w:rPr>
            </w:pPr>
          </w:p>
        </w:tc>
        <w:tc>
          <w:tcPr>
            <w:tcW w:w="1260" w:type="dxa"/>
            <w:gridSpan w:val="3"/>
            <w:shd w:val="clear" w:color="auto" w:fill="auto"/>
            <w:vAlign w:val="center"/>
          </w:tcPr>
          <w:p w14:paraId="5E0F6899">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联系电话</w:t>
            </w:r>
          </w:p>
        </w:tc>
        <w:tc>
          <w:tcPr>
            <w:tcW w:w="1260" w:type="dxa"/>
            <w:shd w:val="clear" w:color="auto" w:fill="auto"/>
            <w:vAlign w:val="center"/>
          </w:tcPr>
          <w:p w14:paraId="41D1A24D">
            <w:pPr>
              <w:spacing w:line="360" w:lineRule="auto"/>
              <w:jc w:val="center"/>
              <w:rPr>
                <w:rFonts w:ascii="仿宋" w:hAnsi="仿宋" w:eastAsia="仿宋" w:cs="Arial"/>
                <w:bCs/>
                <w:color w:val="auto"/>
                <w:szCs w:val="21"/>
                <w:highlight w:val="none"/>
              </w:rPr>
            </w:pPr>
          </w:p>
        </w:tc>
      </w:tr>
      <w:tr w14:paraId="5875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4D8BB335">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成立时间</w:t>
            </w:r>
          </w:p>
        </w:tc>
        <w:tc>
          <w:tcPr>
            <w:tcW w:w="2520" w:type="dxa"/>
            <w:gridSpan w:val="3"/>
            <w:vAlign w:val="center"/>
          </w:tcPr>
          <w:p w14:paraId="13D3FDE2">
            <w:pPr>
              <w:spacing w:line="360" w:lineRule="auto"/>
              <w:jc w:val="center"/>
              <w:rPr>
                <w:rFonts w:ascii="仿宋" w:hAnsi="仿宋" w:eastAsia="仿宋" w:cs="Arial"/>
                <w:bCs/>
                <w:color w:val="auto"/>
                <w:szCs w:val="21"/>
                <w:highlight w:val="none"/>
              </w:rPr>
            </w:pPr>
          </w:p>
        </w:tc>
        <w:tc>
          <w:tcPr>
            <w:tcW w:w="5040" w:type="dxa"/>
            <w:gridSpan w:val="8"/>
            <w:vAlign w:val="center"/>
          </w:tcPr>
          <w:p w14:paraId="6BD4EDF6">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员工总人数：</w:t>
            </w:r>
          </w:p>
        </w:tc>
      </w:tr>
      <w:tr w14:paraId="4788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F079745">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企业资质等级</w:t>
            </w:r>
          </w:p>
        </w:tc>
        <w:tc>
          <w:tcPr>
            <w:tcW w:w="2520" w:type="dxa"/>
            <w:gridSpan w:val="3"/>
            <w:shd w:val="clear" w:color="auto" w:fill="auto"/>
            <w:vAlign w:val="center"/>
          </w:tcPr>
          <w:p w14:paraId="1DEBB4F4">
            <w:pPr>
              <w:spacing w:line="360" w:lineRule="auto"/>
              <w:jc w:val="center"/>
              <w:rPr>
                <w:rFonts w:ascii="仿宋" w:hAnsi="仿宋" w:eastAsia="仿宋" w:cs="Arial"/>
                <w:bCs/>
                <w:color w:val="auto"/>
                <w:szCs w:val="21"/>
                <w:highlight w:val="none"/>
              </w:rPr>
            </w:pPr>
          </w:p>
        </w:tc>
        <w:tc>
          <w:tcPr>
            <w:tcW w:w="1680" w:type="dxa"/>
            <w:gridSpan w:val="2"/>
            <w:vMerge w:val="restart"/>
            <w:shd w:val="clear" w:color="auto" w:fill="auto"/>
            <w:vAlign w:val="center"/>
          </w:tcPr>
          <w:p w14:paraId="237E198C">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其中</w:t>
            </w:r>
          </w:p>
        </w:tc>
        <w:tc>
          <w:tcPr>
            <w:tcW w:w="1680" w:type="dxa"/>
            <w:gridSpan w:val="3"/>
            <w:shd w:val="clear" w:color="auto" w:fill="auto"/>
            <w:vAlign w:val="center"/>
          </w:tcPr>
          <w:p w14:paraId="6B0A454F">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项目经理</w:t>
            </w:r>
          </w:p>
        </w:tc>
        <w:tc>
          <w:tcPr>
            <w:tcW w:w="1680" w:type="dxa"/>
            <w:gridSpan w:val="3"/>
            <w:shd w:val="clear" w:color="auto" w:fill="auto"/>
            <w:vAlign w:val="center"/>
          </w:tcPr>
          <w:p w14:paraId="1A3E011C">
            <w:pPr>
              <w:spacing w:line="360" w:lineRule="auto"/>
              <w:jc w:val="center"/>
              <w:rPr>
                <w:rFonts w:ascii="仿宋" w:hAnsi="仿宋" w:eastAsia="仿宋" w:cs="Arial"/>
                <w:bCs/>
                <w:color w:val="auto"/>
                <w:szCs w:val="21"/>
                <w:highlight w:val="none"/>
              </w:rPr>
            </w:pPr>
          </w:p>
        </w:tc>
      </w:tr>
      <w:tr w14:paraId="5C5D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6B893AF1">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营业执照</w:t>
            </w:r>
            <w:r>
              <w:rPr>
                <w:rFonts w:hint="eastAsia" w:ascii="仿宋" w:hAnsi="仿宋" w:eastAsia="仿宋"/>
                <w:color w:val="auto"/>
                <w:highlight w:val="none"/>
              </w:rPr>
              <w:t>号</w:t>
            </w:r>
          </w:p>
        </w:tc>
        <w:tc>
          <w:tcPr>
            <w:tcW w:w="2520" w:type="dxa"/>
            <w:gridSpan w:val="3"/>
            <w:shd w:val="clear" w:color="auto" w:fill="auto"/>
            <w:vAlign w:val="center"/>
          </w:tcPr>
          <w:p w14:paraId="601D12C3">
            <w:pPr>
              <w:spacing w:line="360" w:lineRule="auto"/>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3903469F">
            <w:pPr>
              <w:spacing w:line="360" w:lineRule="auto"/>
              <w:jc w:val="center"/>
              <w:rPr>
                <w:rFonts w:ascii="仿宋" w:hAnsi="仿宋" w:eastAsia="仿宋" w:cs="Arial"/>
                <w:bCs/>
                <w:color w:val="auto"/>
                <w:szCs w:val="21"/>
                <w:highlight w:val="none"/>
              </w:rPr>
            </w:pPr>
          </w:p>
        </w:tc>
        <w:tc>
          <w:tcPr>
            <w:tcW w:w="1680" w:type="dxa"/>
            <w:gridSpan w:val="3"/>
            <w:shd w:val="clear" w:color="auto" w:fill="auto"/>
            <w:vAlign w:val="center"/>
          </w:tcPr>
          <w:p w14:paraId="60EA184A">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高级职称人员</w:t>
            </w:r>
          </w:p>
        </w:tc>
        <w:tc>
          <w:tcPr>
            <w:tcW w:w="1680" w:type="dxa"/>
            <w:gridSpan w:val="3"/>
            <w:shd w:val="clear" w:color="auto" w:fill="auto"/>
            <w:vAlign w:val="center"/>
          </w:tcPr>
          <w:p w14:paraId="6F157430">
            <w:pPr>
              <w:spacing w:line="360" w:lineRule="auto"/>
              <w:jc w:val="center"/>
              <w:rPr>
                <w:rFonts w:ascii="仿宋" w:hAnsi="仿宋" w:eastAsia="仿宋" w:cs="Arial"/>
                <w:bCs/>
                <w:color w:val="auto"/>
                <w:szCs w:val="21"/>
                <w:highlight w:val="none"/>
              </w:rPr>
            </w:pPr>
          </w:p>
        </w:tc>
      </w:tr>
      <w:tr w14:paraId="0FEC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21E83C9">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注册资金</w:t>
            </w:r>
          </w:p>
        </w:tc>
        <w:tc>
          <w:tcPr>
            <w:tcW w:w="2520" w:type="dxa"/>
            <w:gridSpan w:val="3"/>
            <w:shd w:val="clear" w:color="auto" w:fill="auto"/>
            <w:vAlign w:val="center"/>
          </w:tcPr>
          <w:p w14:paraId="4959319B">
            <w:pPr>
              <w:spacing w:line="360" w:lineRule="auto"/>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3912D8EF">
            <w:pPr>
              <w:spacing w:line="360" w:lineRule="auto"/>
              <w:jc w:val="center"/>
              <w:rPr>
                <w:rFonts w:ascii="仿宋" w:hAnsi="仿宋" w:eastAsia="仿宋" w:cs="Arial"/>
                <w:bCs/>
                <w:color w:val="auto"/>
                <w:szCs w:val="21"/>
                <w:highlight w:val="none"/>
              </w:rPr>
            </w:pPr>
          </w:p>
        </w:tc>
        <w:tc>
          <w:tcPr>
            <w:tcW w:w="1680" w:type="dxa"/>
            <w:gridSpan w:val="3"/>
            <w:shd w:val="clear" w:color="auto" w:fill="auto"/>
            <w:vAlign w:val="center"/>
          </w:tcPr>
          <w:p w14:paraId="56EF682E">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中级职称人员</w:t>
            </w:r>
          </w:p>
        </w:tc>
        <w:tc>
          <w:tcPr>
            <w:tcW w:w="1680" w:type="dxa"/>
            <w:gridSpan w:val="3"/>
            <w:shd w:val="clear" w:color="auto" w:fill="auto"/>
            <w:vAlign w:val="center"/>
          </w:tcPr>
          <w:p w14:paraId="1ADC8CA1">
            <w:pPr>
              <w:spacing w:line="360" w:lineRule="auto"/>
              <w:jc w:val="center"/>
              <w:rPr>
                <w:rFonts w:ascii="仿宋" w:hAnsi="仿宋" w:eastAsia="仿宋" w:cs="Arial"/>
                <w:bCs/>
                <w:color w:val="auto"/>
                <w:szCs w:val="21"/>
                <w:highlight w:val="none"/>
              </w:rPr>
            </w:pPr>
          </w:p>
        </w:tc>
      </w:tr>
      <w:tr w14:paraId="67A7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20ADD3D5">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开户银行</w:t>
            </w:r>
          </w:p>
        </w:tc>
        <w:tc>
          <w:tcPr>
            <w:tcW w:w="2520" w:type="dxa"/>
            <w:gridSpan w:val="3"/>
            <w:shd w:val="clear" w:color="auto" w:fill="auto"/>
            <w:vAlign w:val="center"/>
          </w:tcPr>
          <w:p w14:paraId="17C683B8">
            <w:pPr>
              <w:spacing w:line="360" w:lineRule="auto"/>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5DB485B4">
            <w:pPr>
              <w:spacing w:line="360" w:lineRule="auto"/>
              <w:jc w:val="center"/>
              <w:rPr>
                <w:rFonts w:ascii="仿宋" w:hAnsi="仿宋" w:eastAsia="仿宋" w:cs="Arial"/>
                <w:bCs/>
                <w:color w:val="auto"/>
                <w:szCs w:val="21"/>
                <w:highlight w:val="none"/>
              </w:rPr>
            </w:pPr>
          </w:p>
        </w:tc>
        <w:tc>
          <w:tcPr>
            <w:tcW w:w="1680" w:type="dxa"/>
            <w:gridSpan w:val="3"/>
            <w:shd w:val="clear" w:color="auto" w:fill="auto"/>
            <w:vAlign w:val="center"/>
          </w:tcPr>
          <w:p w14:paraId="186F8403">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初级职称人员</w:t>
            </w:r>
          </w:p>
        </w:tc>
        <w:tc>
          <w:tcPr>
            <w:tcW w:w="1680" w:type="dxa"/>
            <w:gridSpan w:val="3"/>
            <w:shd w:val="clear" w:color="auto" w:fill="auto"/>
            <w:vAlign w:val="center"/>
          </w:tcPr>
          <w:p w14:paraId="2361E57A">
            <w:pPr>
              <w:spacing w:line="360" w:lineRule="auto"/>
              <w:jc w:val="center"/>
              <w:rPr>
                <w:rFonts w:ascii="仿宋" w:hAnsi="仿宋" w:eastAsia="仿宋" w:cs="Arial"/>
                <w:bCs/>
                <w:color w:val="auto"/>
                <w:szCs w:val="21"/>
                <w:highlight w:val="none"/>
              </w:rPr>
            </w:pPr>
          </w:p>
        </w:tc>
      </w:tr>
      <w:tr w14:paraId="0BF4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F24267A">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账号</w:t>
            </w:r>
          </w:p>
        </w:tc>
        <w:tc>
          <w:tcPr>
            <w:tcW w:w="2520" w:type="dxa"/>
            <w:gridSpan w:val="3"/>
            <w:shd w:val="clear" w:color="auto" w:fill="auto"/>
            <w:vAlign w:val="center"/>
          </w:tcPr>
          <w:p w14:paraId="08FC594C">
            <w:pPr>
              <w:spacing w:line="360" w:lineRule="auto"/>
              <w:jc w:val="center"/>
              <w:rPr>
                <w:rFonts w:ascii="仿宋" w:hAnsi="仿宋" w:eastAsia="仿宋" w:cs="Arial"/>
                <w:bCs/>
                <w:color w:val="auto"/>
                <w:szCs w:val="21"/>
                <w:highlight w:val="none"/>
              </w:rPr>
            </w:pPr>
          </w:p>
        </w:tc>
        <w:tc>
          <w:tcPr>
            <w:tcW w:w="1680" w:type="dxa"/>
            <w:gridSpan w:val="2"/>
            <w:vMerge w:val="continue"/>
            <w:shd w:val="clear" w:color="auto" w:fill="auto"/>
            <w:vAlign w:val="center"/>
          </w:tcPr>
          <w:p w14:paraId="5DB279EE">
            <w:pPr>
              <w:spacing w:line="360" w:lineRule="auto"/>
              <w:jc w:val="center"/>
              <w:rPr>
                <w:rFonts w:ascii="仿宋" w:hAnsi="仿宋" w:eastAsia="仿宋" w:cs="Arial"/>
                <w:bCs/>
                <w:color w:val="auto"/>
                <w:szCs w:val="21"/>
                <w:highlight w:val="none"/>
              </w:rPr>
            </w:pPr>
          </w:p>
        </w:tc>
        <w:tc>
          <w:tcPr>
            <w:tcW w:w="1680" w:type="dxa"/>
            <w:gridSpan w:val="3"/>
            <w:shd w:val="clear" w:color="auto" w:fill="auto"/>
            <w:vAlign w:val="center"/>
          </w:tcPr>
          <w:p w14:paraId="63954D30">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技工</w:t>
            </w:r>
          </w:p>
        </w:tc>
        <w:tc>
          <w:tcPr>
            <w:tcW w:w="1680" w:type="dxa"/>
            <w:gridSpan w:val="3"/>
            <w:shd w:val="clear" w:color="auto" w:fill="auto"/>
            <w:vAlign w:val="center"/>
          </w:tcPr>
          <w:p w14:paraId="4C855E1F">
            <w:pPr>
              <w:spacing w:line="360" w:lineRule="auto"/>
              <w:jc w:val="center"/>
              <w:rPr>
                <w:rFonts w:ascii="仿宋" w:hAnsi="仿宋" w:eastAsia="仿宋" w:cs="Arial"/>
                <w:bCs/>
                <w:color w:val="auto"/>
                <w:szCs w:val="21"/>
                <w:highlight w:val="none"/>
              </w:rPr>
            </w:pPr>
          </w:p>
        </w:tc>
      </w:tr>
      <w:tr w14:paraId="419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02BEE857">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经营范围</w:t>
            </w:r>
          </w:p>
        </w:tc>
        <w:tc>
          <w:tcPr>
            <w:tcW w:w="7560" w:type="dxa"/>
            <w:gridSpan w:val="11"/>
            <w:vAlign w:val="center"/>
          </w:tcPr>
          <w:p w14:paraId="15DE9360">
            <w:pPr>
              <w:spacing w:line="360" w:lineRule="auto"/>
              <w:jc w:val="center"/>
              <w:rPr>
                <w:rFonts w:ascii="仿宋" w:hAnsi="仿宋" w:eastAsia="仿宋" w:cs="Arial"/>
                <w:bCs/>
                <w:color w:val="auto"/>
                <w:szCs w:val="21"/>
                <w:highlight w:val="none"/>
              </w:rPr>
            </w:pPr>
          </w:p>
        </w:tc>
      </w:tr>
      <w:tr w14:paraId="5B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0BD198A6">
            <w:pPr>
              <w:spacing w:line="360" w:lineRule="auto"/>
              <w:jc w:val="center"/>
              <w:rPr>
                <w:rFonts w:ascii="仿宋" w:hAnsi="仿宋" w:eastAsia="仿宋" w:cs="Arial"/>
                <w:bCs/>
                <w:color w:val="auto"/>
                <w:szCs w:val="21"/>
                <w:highlight w:val="none"/>
              </w:rPr>
            </w:pPr>
            <w:r>
              <w:rPr>
                <w:rFonts w:hint="eastAsia" w:ascii="仿宋" w:hAnsi="仿宋" w:eastAsia="仿宋" w:cs="Arial"/>
                <w:bCs/>
                <w:color w:val="auto"/>
                <w:szCs w:val="21"/>
                <w:highlight w:val="none"/>
              </w:rPr>
              <w:t>备注</w:t>
            </w:r>
          </w:p>
        </w:tc>
        <w:tc>
          <w:tcPr>
            <w:tcW w:w="7560" w:type="dxa"/>
            <w:gridSpan w:val="11"/>
            <w:vAlign w:val="center"/>
          </w:tcPr>
          <w:p w14:paraId="0A04F169">
            <w:pPr>
              <w:spacing w:line="360" w:lineRule="auto"/>
              <w:jc w:val="center"/>
              <w:rPr>
                <w:rFonts w:ascii="仿宋" w:hAnsi="仿宋" w:eastAsia="仿宋" w:cs="Arial"/>
                <w:bCs/>
                <w:color w:val="auto"/>
                <w:szCs w:val="21"/>
                <w:highlight w:val="none"/>
              </w:rPr>
            </w:pPr>
          </w:p>
        </w:tc>
      </w:tr>
    </w:tbl>
    <w:p w14:paraId="5D90DDCB">
      <w:pPr>
        <w:adjustRightInd w:val="0"/>
        <w:spacing w:line="360" w:lineRule="auto"/>
        <w:jc w:val="left"/>
        <w:rPr>
          <w:rFonts w:ascii="仿宋" w:hAnsi="仿宋" w:eastAsia="仿宋"/>
          <w:color w:val="auto"/>
          <w:sz w:val="24"/>
          <w:highlight w:val="none"/>
        </w:rPr>
      </w:pPr>
    </w:p>
    <w:p w14:paraId="152AE47C">
      <w:pPr>
        <w:adjustRightInd w:val="0"/>
        <w:spacing w:line="360" w:lineRule="auto"/>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7CD2FC7C">
      <w:pPr>
        <w:adjustRightInd w:val="0"/>
        <w:spacing w:line="360" w:lineRule="auto"/>
        <w:jc w:val="left"/>
        <w:rPr>
          <w:rFonts w:ascii="仿宋" w:hAnsi="仿宋" w:eastAsia="仿宋"/>
          <w:bCs/>
          <w:color w:val="auto"/>
          <w:sz w:val="24"/>
          <w:highlight w:val="none"/>
        </w:rPr>
      </w:pPr>
      <w:r>
        <w:rPr>
          <w:rFonts w:hint="eastAsia" w:ascii="仿宋" w:hAnsi="仿宋" w:eastAsia="仿宋"/>
          <w:bCs/>
          <w:color w:val="auto"/>
          <w:sz w:val="24"/>
          <w:highlight w:val="none"/>
        </w:rPr>
        <w:t>法定代表人/单位负责人或授权代表</w:t>
      </w:r>
      <w:r>
        <w:rPr>
          <w:rFonts w:hint="eastAsia" w:ascii="仿宋" w:hAnsi="仿宋" w:eastAsia="仿宋"/>
          <w:color w:val="auto"/>
          <w:sz w:val="24"/>
          <w:highlight w:val="none"/>
        </w:rPr>
        <w:t>（签字或加盖个人印章）</w:t>
      </w:r>
      <w:r>
        <w:rPr>
          <w:rFonts w:hint="eastAsia" w:ascii="仿宋" w:hAnsi="仿宋" w:eastAsia="仿宋"/>
          <w:bCs/>
          <w:color w:val="auto"/>
          <w:sz w:val="24"/>
          <w:highlight w:val="none"/>
        </w:rPr>
        <w:t>：XXX</w:t>
      </w:r>
    </w:p>
    <w:p w14:paraId="6343D264">
      <w:pPr>
        <w:adjustRightInd w:val="0"/>
        <w:spacing w:line="360" w:lineRule="auto"/>
        <w:jc w:val="left"/>
        <w:rPr>
          <w:rFonts w:ascii="仿宋" w:hAnsi="仿宋" w:eastAsia="仿宋"/>
          <w:bCs/>
          <w:color w:val="auto"/>
          <w:sz w:val="24"/>
          <w:highlight w:val="none"/>
        </w:rPr>
      </w:pPr>
      <w:r>
        <w:rPr>
          <w:rFonts w:hint="eastAsia" w:ascii="仿宋" w:hAnsi="仿宋" w:eastAsia="仿宋"/>
          <w:bCs/>
          <w:color w:val="auto"/>
          <w:sz w:val="24"/>
          <w:highlight w:val="none"/>
        </w:rPr>
        <w:t>日  期：XXX年XXX月XXX日</w:t>
      </w:r>
    </w:p>
    <w:p w14:paraId="34E355CD">
      <w:pPr>
        <w:widowControl/>
        <w:spacing w:line="360" w:lineRule="auto"/>
        <w:jc w:val="left"/>
        <w:outlineLvl w:val="1"/>
        <w:rPr>
          <w:rFonts w:ascii="仿宋" w:hAnsi="仿宋" w:eastAsia="仿宋"/>
          <w:color w:val="auto"/>
          <w:sz w:val="24"/>
          <w:highlight w:val="none"/>
        </w:rPr>
      </w:pPr>
      <w:r>
        <w:rPr>
          <w:rFonts w:hint="eastAsia" w:ascii="仿宋" w:hAnsi="仿宋" w:eastAsia="仿宋"/>
          <w:color w:val="auto"/>
          <w:sz w:val="24"/>
          <w:highlight w:val="none"/>
        </w:rPr>
        <w:br w:type="page"/>
      </w:r>
    </w:p>
    <w:p w14:paraId="145FCCE2">
      <w:pPr>
        <w:spacing w:line="360" w:lineRule="auto"/>
        <w:rPr>
          <w:rFonts w:ascii="仿宋" w:hAnsi="仿宋" w:eastAsia="仿宋"/>
          <w:b/>
          <w:color w:val="auto"/>
          <w:sz w:val="28"/>
          <w:szCs w:val="28"/>
          <w:highlight w:val="none"/>
        </w:rPr>
      </w:pPr>
      <w:r>
        <w:rPr>
          <w:rFonts w:hint="eastAsia" w:ascii="仿宋" w:hAnsi="仿宋" w:eastAsia="仿宋"/>
          <w:b/>
          <w:color w:val="auto"/>
          <w:sz w:val="28"/>
          <w:szCs w:val="28"/>
          <w:highlight w:val="none"/>
        </w:rPr>
        <w:t>格式2-6</w:t>
      </w:r>
    </w:p>
    <w:p w14:paraId="3F4E18E2">
      <w:pPr>
        <w:spacing w:line="360" w:lineRule="auto"/>
        <w:jc w:val="center"/>
        <w:outlineLvl w:val="2"/>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五、采购项目技术、服务、采购合同内容条款</w:t>
      </w:r>
    </w:p>
    <w:p w14:paraId="57B33257">
      <w:pPr>
        <w:spacing w:line="360" w:lineRule="auto"/>
        <w:jc w:val="center"/>
        <w:outlineLvl w:val="2"/>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及其他商务要求应答表</w:t>
      </w:r>
    </w:p>
    <w:tbl>
      <w:tblPr>
        <w:tblStyle w:val="41"/>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640"/>
        <w:gridCol w:w="3754"/>
      </w:tblGrid>
      <w:tr w14:paraId="2023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886" w:type="dxa"/>
            <w:vAlign w:val="center"/>
          </w:tcPr>
          <w:p w14:paraId="56DD5AB3">
            <w:pPr>
              <w:widowControl/>
              <w:spacing w:line="36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640" w:type="dxa"/>
            <w:vAlign w:val="center"/>
          </w:tcPr>
          <w:p w14:paraId="383714B8">
            <w:pPr>
              <w:widowControl/>
              <w:spacing w:line="36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谈判文件要求</w:t>
            </w:r>
          </w:p>
        </w:tc>
        <w:tc>
          <w:tcPr>
            <w:tcW w:w="3754" w:type="dxa"/>
            <w:vAlign w:val="center"/>
          </w:tcPr>
          <w:p w14:paraId="033888FB">
            <w:pPr>
              <w:widowControl/>
              <w:spacing w:line="36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响应应答</w:t>
            </w:r>
          </w:p>
        </w:tc>
      </w:tr>
      <w:tr w14:paraId="44D0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32394722">
            <w:pPr>
              <w:widowControl/>
              <w:spacing w:line="360" w:lineRule="atLeast"/>
              <w:ind w:firstLine="470" w:firstLineChars="196"/>
              <w:jc w:val="left"/>
              <w:rPr>
                <w:rFonts w:ascii="仿宋" w:hAnsi="仿宋" w:eastAsia="仿宋" w:cs="仿宋"/>
                <w:color w:val="auto"/>
                <w:sz w:val="24"/>
                <w:highlight w:val="none"/>
              </w:rPr>
            </w:pPr>
          </w:p>
        </w:tc>
        <w:tc>
          <w:tcPr>
            <w:tcW w:w="3640" w:type="dxa"/>
          </w:tcPr>
          <w:p w14:paraId="57B15817">
            <w:pPr>
              <w:widowControl/>
              <w:spacing w:line="360" w:lineRule="atLeast"/>
              <w:ind w:firstLine="470" w:firstLineChars="196"/>
              <w:jc w:val="left"/>
              <w:rPr>
                <w:rFonts w:ascii="仿宋" w:hAnsi="仿宋" w:eastAsia="仿宋" w:cs="仿宋"/>
                <w:color w:val="auto"/>
                <w:sz w:val="24"/>
                <w:highlight w:val="none"/>
              </w:rPr>
            </w:pPr>
          </w:p>
        </w:tc>
        <w:tc>
          <w:tcPr>
            <w:tcW w:w="3754" w:type="dxa"/>
          </w:tcPr>
          <w:p w14:paraId="3E68A68C">
            <w:pPr>
              <w:widowControl/>
              <w:spacing w:line="360" w:lineRule="atLeast"/>
              <w:ind w:firstLine="470" w:firstLineChars="196"/>
              <w:jc w:val="left"/>
              <w:rPr>
                <w:rFonts w:ascii="仿宋" w:hAnsi="仿宋" w:eastAsia="仿宋" w:cs="仿宋"/>
                <w:color w:val="auto"/>
                <w:sz w:val="24"/>
                <w:highlight w:val="none"/>
              </w:rPr>
            </w:pPr>
          </w:p>
        </w:tc>
      </w:tr>
      <w:tr w14:paraId="79E5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0244D36C">
            <w:pPr>
              <w:widowControl/>
              <w:spacing w:line="360" w:lineRule="atLeast"/>
              <w:ind w:firstLine="470" w:firstLineChars="196"/>
              <w:jc w:val="left"/>
              <w:rPr>
                <w:rFonts w:ascii="仿宋" w:hAnsi="仿宋" w:eastAsia="仿宋" w:cs="仿宋"/>
                <w:color w:val="auto"/>
                <w:sz w:val="24"/>
                <w:highlight w:val="none"/>
              </w:rPr>
            </w:pPr>
          </w:p>
        </w:tc>
        <w:tc>
          <w:tcPr>
            <w:tcW w:w="3640" w:type="dxa"/>
          </w:tcPr>
          <w:p w14:paraId="5AFC66C1">
            <w:pPr>
              <w:widowControl/>
              <w:spacing w:line="360" w:lineRule="atLeast"/>
              <w:ind w:firstLine="470" w:firstLineChars="196"/>
              <w:jc w:val="left"/>
              <w:rPr>
                <w:rFonts w:ascii="仿宋" w:hAnsi="仿宋" w:eastAsia="仿宋" w:cs="仿宋"/>
                <w:color w:val="auto"/>
                <w:sz w:val="24"/>
                <w:highlight w:val="none"/>
              </w:rPr>
            </w:pPr>
          </w:p>
        </w:tc>
        <w:tc>
          <w:tcPr>
            <w:tcW w:w="3754" w:type="dxa"/>
          </w:tcPr>
          <w:p w14:paraId="3A546E06">
            <w:pPr>
              <w:widowControl/>
              <w:spacing w:line="360" w:lineRule="atLeast"/>
              <w:ind w:firstLine="470" w:firstLineChars="196"/>
              <w:jc w:val="left"/>
              <w:rPr>
                <w:rFonts w:ascii="仿宋" w:hAnsi="仿宋" w:eastAsia="仿宋" w:cs="仿宋"/>
                <w:color w:val="auto"/>
                <w:sz w:val="24"/>
                <w:highlight w:val="none"/>
              </w:rPr>
            </w:pPr>
          </w:p>
        </w:tc>
      </w:tr>
      <w:tr w14:paraId="7AF1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7FC6D251">
            <w:pPr>
              <w:widowControl/>
              <w:spacing w:line="360" w:lineRule="atLeast"/>
              <w:ind w:firstLine="470" w:firstLineChars="196"/>
              <w:jc w:val="left"/>
              <w:rPr>
                <w:rFonts w:ascii="仿宋" w:hAnsi="仿宋" w:eastAsia="仿宋" w:cs="仿宋"/>
                <w:color w:val="auto"/>
                <w:sz w:val="24"/>
                <w:highlight w:val="none"/>
              </w:rPr>
            </w:pPr>
          </w:p>
        </w:tc>
        <w:tc>
          <w:tcPr>
            <w:tcW w:w="3640" w:type="dxa"/>
          </w:tcPr>
          <w:p w14:paraId="43AF1EFB">
            <w:pPr>
              <w:widowControl/>
              <w:spacing w:line="360" w:lineRule="atLeast"/>
              <w:ind w:firstLine="470" w:firstLineChars="196"/>
              <w:jc w:val="left"/>
              <w:rPr>
                <w:rFonts w:ascii="仿宋" w:hAnsi="仿宋" w:eastAsia="仿宋" w:cs="仿宋"/>
                <w:color w:val="auto"/>
                <w:sz w:val="24"/>
                <w:highlight w:val="none"/>
              </w:rPr>
            </w:pPr>
          </w:p>
        </w:tc>
        <w:tc>
          <w:tcPr>
            <w:tcW w:w="3754" w:type="dxa"/>
          </w:tcPr>
          <w:p w14:paraId="729A8569">
            <w:pPr>
              <w:widowControl/>
              <w:spacing w:line="360" w:lineRule="atLeast"/>
              <w:ind w:firstLine="470" w:firstLineChars="196"/>
              <w:jc w:val="left"/>
              <w:rPr>
                <w:rFonts w:ascii="仿宋" w:hAnsi="仿宋" w:eastAsia="仿宋" w:cs="仿宋"/>
                <w:color w:val="auto"/>
                <w:sz w:val="24"/>
                <w:highlight w:val="none"/>
              </w:rPr>
            </w:pPr>
          </w:p>
        </w:tc>
      </w:tr>
      <w:tr w14:paraId="2A4A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86" w:type="dxa"/>
          </w:tcPr>
          <w:p w14:paraId="51D19E3A">
            <w:pPr>
              <w:widowControl/>
              <w:spacing w:line="360" w:lineRule="atLeast"/>
              <w:ind w:firstLine="470" w:firstLineChars="196"/>
              <w:jc w:val="left"/>
              <w:rPr>
                <w:rFonts w:ascii="仿宋" w:hAnsi="仿宋" w:eastAsia="仿宋" w:cs="仿宋"/>
                <w:color w:val="auto"/>
                <w:sz w:val="24"/>
                <w:highlight w:val="none"/>
              </w:rPr>
            </w:pPr>
          </w:p>
        </w:tc>
        <w:tc>
          <w:tcPr>
            <w:tcW w:w="3640" w:type="dxa"/>
          </w:tcPr>
          <w:p w14:paraId="225F8210">
            <w:pPr>
              <w:widowControl/>
              <w:spacing w:line="360" w:lineRule="atLeast"/>
              <w:ind w:firstLine="470" w:firstLineChars="196"/>
              <w:jc w:val="left"/>
              <w:rPr>
                <w:rFonts w:ascii="仿宋" w:hAnsi="仿宋" w:eastAsia="仿宋" w:cs="仿宋"/>
                <w:color w:val="auto"/>
                <w:sz w:val="24"/>
                <w:highlight w:val="none"/>
              </w:rPr>
            </w:pPr>
          </w:p>
        </w:tc>
        <w:tc>
          <w:tcPr>
            <w:tcW w:w="3754" w:type="dxa"/>
          </w:tcPr>
          <w:p w14:paraId="6C080417">
            <w:pPr>
              <w:widowControl/>
              <w:spacing w:line="360" w:lineRule="atLeast"/>
              <w:ind w:firstLine="470" w:firstLineChars="196"/>
              <w:jc w:val="left"/>
              <w:rPr>
                <w:rFonts w:ascii="仿宋" w:hAnsi="仿宋" w:eastAsia="仿宋" w:cs="仿宋"/>
                <w:color w:val="auto"/>
                <w:sz w:val="24"/>
                <w:highlight w:val="none"/>
              </w:rPr>
            </w:pPr>
          </w:p>
        </w:tc>
      </w:tr>
    </w:tbl>
    <w:p w14:paraId="448CA1B7">
      <w:pPr>
        <w:spacing w:line="360" w:lineRule="auto"/>
        <w:ind w:firstLine="482" w:firstLineChars="200"/>
        <w:rPr>
          <w:rFonts w:ascii="仿宋" w:hAnsi="仿宋" w:eastAsia="仿宋"/>
          <w:b/>
          <w:color w:val="auto"/>
          <w:sz w:val="24"/>
          <w:highlight w:val="none"/>
        </w:rPr>
      </w:pPr>
    </w:p>
    <w:p w14:paraId="0F7B3D13">
      <w:pPr>
        <w:spacing w:line="360" w:lineRule="auto"/>
        <w:ind w:firstLine="480" w:firstLineChars="200"/>
        <w:rPr>
          <w:rFonts w:ascii="仿宋" w:hAnsi="仿宋" w:eastAsia="仿宋"/>
          <w:b/>
          <w:color w:val="auto"/>
          <w:sz w:val="24"/>
          <w:highlight w:val="none"/>
        </w:rPr>
      </w:pPr>
      <w:r>
        <w:rPr>
          <w:rFonts w:hint="eastAsia" w:ascii="仿宋" w:hAnsi="仿宋" w:eastAsia="仿宋"/>
          <w:color w:val="auto"/>
          <w:sz w:val="24"/>
          <w:highlight w:val="none"/>
        </w:rPr>
        <w:t>注：供应商必须根据谈判文件第五章“采购项目技术、服务、采购合同内容条款及其他商务要求”据实逐条填写，不得虚假响应，虚假响应的，其响应文件无效并按规定追究其相关责任。</w:t>
      </w:r>
    </w:p>
    <w:p w14:paraId="73AD8056">
      <w:pPr>
        <w:adjustRightInd w:val="0"/>
        <w:spacing w:line="360" w:lineRule="auto"/>
        <w:ind w:firstLine="480" w:firstLineChars="200"/>
        <w:jc w:val="left"/>
        <w:rPr>
          <w:rFonts w:ascii="仿宋" w:hAnsi="仿宋" w:eastAsia="仿宋"/>
          <w:color w:val="auto"/>
          <w:sz w:val="24"/>
          <w:highlight w:val="none"/>
        </w:rPr>
      </w:pPr>
    </w:p>
    <w:p w14:paraId="5020E209">
      <w:pPr>
        <w:adjustRightInd w:val="0"/>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4A75E531">
      <w:pPr>
        <w:adjustRightInd w:val="0"/>
        <w:spacing w:line="360" w:lineRule="auto"/>
        <w:ind w:firstLine="480" w:firstLineChars="200"/>
        <w:jc w:val="left"/>
        <w:rPr>
          <w:rFonts w:ascii="仿宋" w:hAnsi="仿宋" w:eastAsia="仿宋"/>
          <w:bCs/>
          <w:color w:val="auto"/>
          <w:sz w:val="24"/>
          <w:highlight w:val="none"/>
        </w:rPr>
      </w:pPr>
      <w:r>
        <w:rPr>
          <w:rFonts w:hint="eastAsia" w:ascii="仿宋" w:hAnsi="仿宋" w:eastAsia="仿宋"/>
          <w:bCs/>
          <w:color w:val="auto"/>
          <w:sz w:val="24"/>
          <w:highlight w:val="none"/>
        </w:rPr>
        <w:t>法定代表人/单位负责人或授权代表</w:t>
      </w:r>
      <w:r>
        <w:rPr>
          <w:rFonts w:hint="eastAsia" w:ascii="仿宋" w:hAnsi="仿宋" w:eastAsia="仿宋"/>
          <w:color w:val="auto"/>
          <w:sz w:val="24"/>
          <w:highlight w:val="none"/>
        </w:rPr>
        <w:t>（签字或加盖个人印章）</w:t>
      </w:r>
      <w:r>
        <w:rPr>
          <w:rFonts w:hint="eastAsia" w:ascii="仿宋" w:hAnsi="仿宋" w:eastAsia="仿宋"/>
          <w:bCs/>
          <w:color w:val="auto"/>
          <w:sz w:val="24"/>
          <w:highlight w:val="none"/>
        </w:rPr>
        <w:t>：XXX</w:t>
      </w:r>
    </w:p>
    <w:p w14:paraId="1F611C92">
      <w:pPr>
        <w:adjustRightInd w:val="0"/>
        <w:spacing w:line="360" w:lineRule="auto"/>
        <w:ind w:firstLine="540" w:firstLineChars="225"/>
        <w:jc w:val="left"/>
        <w:rPr>
          <w:rFonts w:ascii="仿宋" w:hAnsi="仿宋" w:eastAsia="仿宋"/>
          <w:bCs/>
          <w:color w:val="auto"/>
          <w:sz w:val="24"/>
          <w:highlight w:val="none"/>
        </w:rPr>
      </w:pPr>
      <w:r>
        <w:rPr>
          <w:rFonts w:hint="eastAsia" w:ascii="仿宋" w:hAnsi="仿宋" w:eastAsia="仿宋"/>
          <w:bCs/>
          <w:color w:val="auto"/>
          <w:sz w:val="24"/>
          <w:highlight w:val="none"/>
        </w:rPr>
        <w:t>日  期</w:t>
      </w:r>
      <w:r>
        <w:rPr>
          <w:rFonts w:hint="eastAsia" w:ascii="仿宋" w:hAnsi="仿宋" w:eastAsia="仿宋"/>
          <w:color w:val="auto"/>
          <w:sz w:val="24"/>
          <w:highlight w:val="none"/>
        </w:rPr>
        <w:t>：</w:t>
      </w:r>
      <w:r>
        <w:rPr>
          <w:rFonts w:hint="eastAsia" w:ascii="仿宋" w:hAnsi="仿宋" w:eastAsia="仿宋"/>
          <w:bCs/>
          <w:color w:val="auto"/>
          <w:sz w:val="24"/>
          <w:highlight w:val="none"/>
        </w:rPr>
        <w:t>XXX年XXX月XXX日</w:t>
      </w:r>
    </w:p>
    <w:p w14:paraId="36891D55">
      <w:pPr>
        <w:pStyle w:val="74"/>
        <w:ind w:firstLine="480"/>
        <w:rPr>
          <w:rFonts w:ascii="仿宋" w:hAnsi="仿宋" w:eastAsia="仿宋"/>
          <w:color w:val="auto"/>
          <w:highlight w:val="none"/>
        </w:rPr>
      </w:pPr>
    </w:p>
    <w:p w14:paraId="00F6FB7C">
      <w:pPr>
        <w:pStyle w:val="13"/>
        <w:spacing w:line="360" w:lineRule="auto"/>
        <w:ind w:firstLine="480"/>
        <w:rPr>
          <w:rFonts w:ascii="仿宋" w:hAnsi="仿宋" w:eastAsia="仿宋"/>
          <w:color w:val="auto"/>
          <w:sz w:val="24"/>
          <w:highlight w:val="none"/>
        </w:rPr>
      </w:pPr>
    </w:p>
    <w:p w14:paraId="269BEFA8">
      <w:pPr>
        <w:spacing w:line="360" w:lineRule="auto"/>
        <w:rPr>
          <w:rFonts w:ascii="仿宋" w:hAnsi="仿宋" w:eastAsia="仿宋"/>
          <w:b/>
          <w:bCs/>
          <w:color w:val="auto"/>
          <w:sz w:val="28"/>
          <w:szCs w:val="28"/>
          <w:highlight w:val="none"/>
        </w:rPr>
        <w:sectPr>
          <w:headerReference r:id="rId13" w:type="default"/>
          <w:type w:val="continuous"/>
          <w:pgSz w:w="11906" w:h="16838"/>
          <w:pgMar w:top="1440" w:right="1797" w:bottom="1440" w:left="1797" w:header="851" w:footer="992" w:gutter="0"/>
          <w:cols w:space="425" w:num="1"/>
          <w:docGrid w:linePitch="312" w:charSpace="0"/>
        </w:sectPr>
      </w:pPr>
    </w:p>
    <w:p w14:paraId="5CA3A238">
      <w:pPr>
        <w:widowControl/>
        <w:jc w:val="left"/>
        <w:rPr>
          <w:rFonts w:ascii="仿宋" w:hAnsi="仿宋" w:eastAsia="仿宋"/>
          <w:b/>
          <w:color w:val="auto"/>
          <w:sz w:val="28"/>
          <w:szCs w:val="28"/>
          <w:highlight w:val="none"/>
        </w:rPr>
      </w:pPr>
      <w:r>
        <w:rPr>
          <w:rFonts w:ascii="仿宋" w:hAnsi="仿宋" w:eastAsia="仿宋"/>
          <w:b/>
          <w:color w:val="auto"/>
          <w:sz w:val="28"/>
          <w:szCs w:val="28"/>
          <w:highlight w:val="none"/>
        </w:rPr>
        <w:br w:type="page"/>
      </w:r>
    </w:p>
    <w:p w14:paraId="3FA7E69C">
      <w:pPr>
        <w:spacing w:line="360" w:lineRule="auto"/>
        <w:rPr>
          <w:rFonts w:ascii="仿宋" w:hAnsi="仿宋" w:eastAsia="仿宋"/>
          <w:b/>
          <w:color w:val="auto"/>
          <w:sz w:val="28"/>
          <w:szCs w:val="28"/>
          <w:highlight w:val="none"/>
        </w:rPr>
      </w:pPr>
      <w:r>
        <w:rPr>
          <w:rFonts w:hint="eastAsia" w:ascii="仿宋" w:hAnsi="仿宋" w:eastAsia="仿宋"/>
          <w:b/>
          <w:color w:val="auto"/>
          <w:sz w:val="28"/>
          <w:szCs w:val="28"/>
          <w:highlight w:val="none"/>
        </w:rPr>
        <w:t>格式2-7</w:t>
      </w:r>
    </w:p>
    <w:p w14:paraId="3A1F6B06">
      <w:pPr>
        <w:spacing w:line="360" w:lineRule="auto"/>
        <w:jc w:val="center"/>
        <w:outlineLvl w:val="2"/>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六、供应商类似项目业绩一览表</w:t>
      </w:r>
    </w:p>
    <w:p w14:paraId="01FC35CC">
      <w:pPr>
        <w:spacing w:line="360" w:lineRule="auto"/>
        <w:rPr>
          <w:rFonts w:ascii="仿宋" w:hAnsi="仿宋" w:eastAsia="仿宋" w:cs="Arial"/>
          <w:color w:val="auto"/>
          <w:sz w:val="24"/>
          <w:highlight w:val="none"/>
        </w:rPr>
      </w:pPr>
    </w:p>
    <w:tbl>
      <w:tblPr>
        <w:tblStyle w:val="41"/>
        <w:tblW w:w="4997" w:type="pct"/>
        <w:jc w:val="center"/>
        <w:tblLayout w:type="autofit"/>
        <w:tblCellMar>
          <w:top w:w="0" w:type="dxa"/>
          <w:left w:w="108" w:type="dxa"/>
          <w:bottom w:w="0" w:type="dxa"/>
          <w:right w:w="108" w:type="dxa"/>
        </w:tblCellMar>
      </w:tblPr>
      <w:tblGrid>
        <w:gridCol w:w="506"/>
        <w:gridCol w:w="1094"/>
        <w:gridCol w:w="1203"/>
        <w:gridCol w:w="985"/>
        <w:gridCol w:w="1096"/>
        <w:gridCol w:w="875"/>
        <w:gridCol w:w="874"/>
        <w:gridCol w:w="945"/>
        <w:gridCol w:w="945"/>
      </w:tblGrid>
      <w:tr w14:paraId="580DCF91">
        <w:tblPrEx>
          <w:tblCellMar>
            <w:top w:w="0" w:type="dxa"/>
            <w:left w:w="108" w:type="dxa"/>
            <w:bottom w:w="0" w:type="dxa"/>
            <w:right w:w="108" w:type="dxa"/>
          </w:tblCellMar>
        </w:tblPrEx>
        <w:trPr>
          <w:trHeight w:val="601"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104DD466">
            <w:pPr>
              <w:widowControl/>
              <w:spacing w:line="360" w:lineRule="auto"/>
              <w:jc w:val="center"/>
              <w:rPr>
                <w:rFonts w:ascii="仿宋" w:hAnsi="仿宋" w:eastAsia="仿宋" w:cs="Arial"/>
                <w:color w:val="auto"/>
                <w:kern w:val="0"/>
                <w:highlight w:val="none"/>
              </w:rPr>
            </w:pPr>
            <w:r>
              <w:rPr>
                <w:rFonts w:ascii="仿宋" w:hAnsi="仿宋" w:eastAsia="仿宋"/>
                <w:color w:val="auto"/>
                <w:kern w:val="0"/>
                <w:highlight w:val="none"/>
              </w:rPr>
              <w:t>序号</w:t>
            </w:r>
          </w:p>
        </w:tc>
        <w:tc>
          <w:tcPr>
            <w:tcW w:w="641" w:type="pct"/>
            <w:tcBorders>
              <w:top w:val="single" w:color="auto" w:sz="4" w:space="0"/>
              <w:left w:val="nil"/>
              <w:bottom w:val="single" w:color="auto" w:sz="4" w:space="0"/>
              <w:right w:val="single" w:color="auto" w:sz="4" w:space="0"/>
            </w:tcBorders>
            <w:vAlign w:val="center"/>
          </w:tcPr>
          <w:p w14:paraId="44A47B74">
            <w:pPr>
              <w:widowControl/>
              <w:spacing w:line="360" w:lineRule="auto"/>
              <w:ind w:left="-69" w:leftChars="-33" w:right="-94" w:rightChars="-45"/>
              <w:jc w:val="center"/>
              <w:rPr>
                <w:rFonts w:ascii="仿宋" w:hAnsi="仿宋" w:eastAsia="仿宋" w:cs="Arial"/>
                <w:color w:val="auto"/>
                <w:kern w:val="0"/>
                <w:highlight w:val="none"/>
              </w:rPr>
            </w:pPr>
            <w:r>
              <w:rPr>
                <w:rFonts w:hint="eastAsia" w:ascii="仿宋" w:hAnsi="仿宋" w:eastAsia="仿宋"/>
                <w:color w:val="auto"/>
                <w:kern w:val="0"/>
                <w:highlight w:val="none"/>
              </w:rPr>
              <w:t>项目业主</w:t>
            </w:r>
          </w:p>
        </w:tc>
        <w:tc>
          <w:tcPr>
            <w:tcW w:w="705" w:type="pct"/>
            <w:tcBorders>
              <w:top w:val="single" w:color="auto" w:sz="4" w:space="0"/>
              <w:left w:val="nil"/>
              <w:bottom w:val="single" w:color="auto" w:sz="4" w:space="0"/>
              <w:right w:val="single" w:color="auto" w:sz="4" w:space="0"/>
            </w:tcBorders>
            <w:vAlign w:val="center"/>
          </w:tcPr>
          <w:p w14:paraId="1B9B9EF1">
            <w:pPr>
              <w:widowControl/>
              <w:spacing w:line="360" w:lineRule="auto"/>
              <w:jc w:val="center"/>
              <w:rPr>
                <w:rFonts w:ascii="仿宋" w:hAnsi="仿宋" w:eastAsia="仿宋" w:cs="Arial"/>
                <w:color w:val="auto"/>
                <w:kern w:val="0"/>
                <w:highlight w:val="none"/>
              </w:rPr>
            </w:pPr>
            <w:r>
              <w:rPr>
                <w:rFonts w:hint="eastAsia" w:ascii="仿宋" w:hAnsi="仿宋" w:eastAsia="仿宋"/>
                <w:color w:val="auto"/>
                <w:kern w:val="0"/>
                <w:highlight w:val="none"/>
              </w:rPr>
              <w:t>项目名称</w:t>
            </w:r>
          </w:p>
        </w:tc>
        <w:tc>
          <w:tcPr>
            <w:tcW w:w="577" w:type="pct"/>
            <w:tcBorders>
              <w:top w:val="single" w:color="auto" w:sz="4" w:space="0"/>
              <w:left w:val="nil"/>
              <w:bottom w:val="single" w:color="auto" w:sz="4" w:space="0"/>
              <w:right w:val="single" w:color="auto" w:sz="4" w:space="0"/>
            </w:tcBorders>
            <w:vAlign w:val="center"/>
          </w:tcPr>
          <w:p w14:paraId="3BFA2AB8">
            <w:pPr>
              <w:widowControl/>
              <w:spacing w:line="360" w:lineRule="auto"/>
              <w:jc w:val="center"/>
              <w:rPr>
                <w:rFonts w:ascii="仿宋" w:hAnsi="仿宋" w:eastAsia="仿宋" w:cs="Arial"/>
                <w:color w:val="auto"/>
                <w:kern w:val="0"/>
                <w:highlight w:val="none"/>
              </w:rPr>
            </w:pPr>
            <w:r>
              <w:rPr>
                <w:rFonts w:hint="eastAsia" w:ascii="仿宋" w:hAnsi="仿宋" w:eastAsia="仿宋" w:cs="Arial"/>
                <w:color w:val="auto"/>
                <w:kern w:val="0"/>
                <w:highlight w:val="none"/>
              </w:rPr>
              <w:t>工程类别</w:t>
            </w:r>
          </w:p>
        </w:tc>
        <w:tc>
          <w:tcPr>
            <w:tcW w:w="642" w:type="pct"/>
            <w:tcBorders>
              <w:top w:val="single" w:color="auto" w:sz="4" w:space="0"/>
              <w:left w:val="nil"/>
              <w:bottom w:val="single" w:color="auto" w:sz="4" w:space="0"/>
              <w:right w:val="single" w:color="auto" w:sz="4" w:space="0"/>
            </w:tcBorders>
            <w:vAlign w:val="center"/>
          </w:tcPr>
          <w:p w14:paraId="3FB315E8">
            <w:pPr>
              <w:widowControl/>
              <w:spacing w:line="360" w:lineRule="auto"/>
              <w:jc w:val="center"/>
              <w:rPr>
                <w:rFonts w:ascii="仿宋" w:hAnsi="仿宋" w:eastAsia="仿宋" w:cs="Arial"/>
                <w:color w:val="auto"/>
                <w:kern w:val="0"/>
                <w:highlight w:val="none"/>
              </w:rPr>
            </w:pPr>
            <w:r>
              <w:rPr>
                <w:rFonts w:hint="eastAsia" w:ascii="仿宋" w:hAnsi="仿宋" w:eastAsia="仿宋"/>
                <w:color w:val="auto"/>
                <w:kern w:val="0"/>
                <w:highlight w:val="none"/>
              </w:rPr>
              <w:t>开工日期</w:t>
            </w:r>
          </w:p>
        </w:tc>
        <w:tc>
          <w:tcPr>
            <w:tcW w:w="513" w:type="pct"/>
            <w:tcBorders>
              <w:top w:val="single" w:color="auto" w:sz="4" w:space="0"/>
              <w:left w:val="nil"/>
              <w:bottom w:val="single" w:color="auto" w:sz="4" w:space="0"/>
              <w:right w:val="single" w:color="auto" w:sz="4" w:space="0"/>
            </w:tcBorders>
            <w:vAlign w:val="center"/>
          </w:tcPr>
          <w:p w14:paraId="586D3047">
            <w:pPr>
              <w:spacing w:line="360" w:lineRule="auto"/>
              <w:jc w:val="center"/>
              <w:rPr>
                <w:rFonts w:ascii="仿宋" w:hAnsi="仿宋" w:eastAsia="仿宋" w:cs="Arial"/>
                <w:color w:val="auto"/>
                <w:kern w:val="0"/>
                <w:highlight w:val="none"/>
              </w:rPr>
            </w:pPr>
            <w:r>
              <w:rPr>
                <w:rFonts w:hint="eastAsia" w:ascii="仿宋" w:hAnsi="仿宋" w:eastAsia="仿宋"/>
                <w:color w:val="auto"/>
                <w:kern w:val="0"/>
                <w:highlight w:val="none"/>
              </w:rPr>
              <w:t>竣工日期</w:t>
            </w:r>
          </w:p>
        </w:tc>
        <w:tc>
          <w:tcPr>
            <w:tcW w:w="512" w:type="pct"/>
            <w:tcBorders>
              <w:top w:val="single" w:color="auto" w:sz="4" w:space="0"/>
              <w:left w:val="nil"/>
              <w:bottom w:val="single" w:color="auto" w:sz="4" w:space="0"/>
              <w:right w:val="single" w:color="auto" w:sz="4" w:space="0"/>
            </w:tcBorders>
            <w:vAlign w:val="center"/>
          </w:tcPr>
          <w:p w14:paraId="38A64B2E">
            <w:pPr>
              <w:widowControl/>
              <w:spacing w:line="360" w:lineRule="auto"/>
              <w:ind w:left="13" w:leftChars="-44" w:right="-94" w:rightChars="-45" w:hanging="105" w:hangingChars="50"/>
              <w:jc w:val="center"/>
              <w:rPr>
                <w:rFonts w:ascii="仿宋" w:hAnsi="仿宋" w:eastAsia="仿宋" w:cs="Arial"/>
                <w:color w:val="auto"/>
                <w:kern w:val="0"/>
                <w:highlight w:val="none"/>
              </w:rPr>
            </w:pPr>
            <w:r>
              <w:rPr>
                <w:rFonts w:hint="eastAsia" w:ascii="仿宋" w:hAnsi="仿宋" w:eastAsia="仿宋"/>
                <w:color w:val="auto"/>
                <w:kern w:val="0"/>
                <w:highlight w:val="none"/>
              </w:rPr>
              <w:t>建设规模</w:t>
            </w:r>
          </w:p>
        </w:tc>
        <w:tc>
          <w:tcPr>
            <w:tcW w:w="554" w:type="pct"/>
            <w:tcBorders>
              <w:top w:val="single" w:color="auto" w:sz="4" w:space="0"/>
              <w:left w:val="nil"/>
              <w:bottom w:val="single" w:color="auto" w:sz="4" w:space="0"/>
              <w:right w:val="single" w:color="auto" w:sz="4" w:space="0"/>
            </w:tcBorders>
            <w:vAlign w:val="center"/>
          </w:tcPr>
          <w:p w14:paraId="13869D9D">
            <w:pPr>
              <w:widowControl/>
              <w:spacing w:line="360" w:lineRule="auto"/>
              <w:ind w:right="-94" w:rightChars="-45"/>
              <w:jc w:val="center"/>
              <w:rPr>
                <w:rFonts w:ascii="仿宋" w:hAnsi="仿宋" w:eastAsia="仿宋" w:cs="Arial"/>
                <w:color w:val="auto"/>
                <w:kern w:val="0"/>
                <w:highlight w:val="none"/>
              </w:rPr>
            </w:pPr>
            <w:r>
              <w:rPr>
                <w:rFonts w:hint="eastAsia" w:ascii="仿宋" w:hAnsi="仿宋" w:eastAsia="仿宋"/>
                <w:color w:val="auto"/>
                <w:kern w:val="0"/>
                <w:highlight w:val="none"/>
              </w:rPr>
              <w:t>合同价格（元）</w:t>
            </w:r>
          </w:p>
        </w:tc>
        <w:tc>
          <w:tcPr>
            <w:tcW w:w="554" w:type="pct"/>
            <w:tcBorders>
              <w:top w:val="single" w:color="auto" w:sz="4" w:space="0"/>
              <w:left w:val="nil"/>
              <w:bottom w:val="single" w:color="auto" w:sz="4" w:space="0"/>
              <w:right w:val="single" w:color="auto" w:sz="4" w:space="0"/>
            </w:tcBorders>
            <w:vAlign w:val="center"/>
          </w:tcPr>
          <w:p w14:paraId="37EEBB55">
            <w:pPr>
              <w:widowControl/>
              <w:spacing w:line="360" w:lineRule="auto"/>
              <w:ind w:right="-94" w:rightChars="-45"/>
              <w:jc w:val="center"/>
              <w:rPr>
                <w:rFonts w:ascii="仿宋" w:hAnsi="仿宋" w:eastAsia="仿宋"/>
                <w:color w:val="auto"/>
                <w:kern w:val="0"/>
                <w:highlight w:val="none"/>
              </w:rPr>
            </w:pPr>
            <w:r>
              <w:rPr>
                <w:rFonts w:hint="eastAsia" w:ascii="仿宋" w:hAnsi="仿宋" w:eastAsia="仿宋"/>
                <w:color w:val="auto"/>
                <w:kern w:val="0"/>
                <w:highlight w:val="none"/>
              </w:rPr>
              <w:t>备注</w:t>
            </w:r>
          </w:p>
        </w:tc>
      </w:tr>
      <w:tr w14:paraId="252537B5">
        <w:tblPrEx>
          <w:tblCellMar>
            <w:top w:w="0" w:type="dxa"/>
            <w:left w:w="108" w:type="dxa"/>
            <w:bottom w:w="0" w:type="dxa"/>
            <w:right w:w="108" w:type="dxa"/>
          </w:tblCellMar>
        </w:tblPrEx>
        <w:trPr>
          <w:trHeight w:val="601"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4AA7F5E1">
            <w:pPr>
              <w:widowControl/>
              <w:spacing w:line="360" w:lineRule="auto"/>
              <w:jc w:val="center"/>
              <w:rPr>
                <w:rFonts w:ascii="仿宋" w:hAnsi="仿宋" w:eastAsia="仿宋" w:cs="Arial"/>
                <w:color w:val="auto"/>
                <w:kern w:val="0"/>
                <w:highlight w:val="none"/>
              </w:rPr>
            </w:pPr>
            <w:r>
              <w:rPr>
                <w:rFonts w:hint="eastAsia" w:ascii="仿宋" w:hAnsi="仿宋" w:eastAsia="仿宋"/>
                <w:color w:val="auto"/>
                <w:kern w:val="0"/>
                <w:highlight w:val="none"/>
              </w:rPr>
              <w:t>1</w:t>
            </w:r>
          </w:p>
        </w:tc>
        <w:tc>
          <w:tcPr>
            <w:tcW w:w="641" w:type="pct"/>
            <w:tcBorders>
              <w:top w:val="single" w:color="auto" w:sz="4" w:space="0"/>
              <w:left w:val="nil"/>
              <w:bottom w:val="single" w:color="auto" w:sz="4" w:space="0"/>
              <w:right w:val="single" w:color="auto" w:sz="4" w:space="0"/>
            </w:tcBorders>
            <w:vAlign w:val="center"/>
          </w:tcPr>
          <w:p w14:paraId="52958952">
            <w:pPr>
              <w:widowControl/>
              <w:spacing w:line="360" w:lineRule="auto"/>
              <w:jc w:val="center"/>
              <w:rPr>
                <w:rFonts w:ascii="仿宋" w:hAnsi="仿宋" w:eastAsia="仿宋" w:cs="Arial"/>
                <w:color w:val="auto"/>
                <w:kern w:val="0"/>
                <w:highlight w:val="none"/>
              </w:rPr>
            </w:pPr>
          </w:p>
        </w:tc>
        <w:tc>
          <w:tcPr>
            <w:tcW w:w="705" w:type="pct"/>
            <w:tcBorders>
              <w:top w:val="single" w:color="auto" w:sz="4" w:space="0"/>
              <w:left w:val="nil"/>
              <w:bottom w:val="single" w:color="auto" w:sz="4" w:space="0"/>
              <w:right w:val="single" w:color="auto" w:sz="4" w:space="0"/>
            </w:tcBorders>
            <w:vAlign w:val="center"/>
          </w:tcPr>
          <w:p w14:paraId="6E3ED2E2">
            <w:pPr>
              <w:widowControl/>
              <w:spacing w:line="360" w:lineRule="auto"/>
              <w:jc w:val="center"/>
              <w:rPr>
                <w:rFonts w:ascii="仿宋" w:hAnsi="仿宋" w:eastAsia="仿宋" w:cs="Arial"/>
                <w:color w:val="auto"/>
                <w:kern w:val="0"/>
                <w:highlight w:val="none"/>
              </w:rPr>
            </w:pPr>
          </w:p>
        </w:tc>
        <w:tc>
          <w:tcPr>
            <w:tcW w:w="577" w:type="pct"/>
            <w:tcBorders>
              <w:top w:val="single" w:color="auto" w:sz="4" w:space="0"/>
              <w:left w:val="nil"/>
              <w:bottom w:val="single" w:color="auto" w:sz="4" w:space="0"/>
              <w:right w:val="single" w:color="auto" w:sz="4" w:space="0"/>
            </w:tcBorders>
            <w:vAlign w:val="center"/>
          </w:tcPr>
          <w:p w14:paraId="41A917B8">
            <w:pPr>
              <w:widowControl/>
              <w:spacing w:line="360" w:lineRule="auto"/>
              <w:jc w:val="center"/>
              <w:rPr>
                <w:rFonts w:ascii="仿宋" w:hAnsi="仿宋" w:eastAsia="仿宋" w:cs="Arial"/>
                <w:color w:val="auto"/>
                <w:kern w:val="0"/>
                <w:highlight w:val="none"/>
              </w:rPr>
            </w:pPr>
          </w:p>
        </w:tc>
        <w:tc>
          <w:tcPr>
            <w:tcW w:w="642" w:type="pct"/>
            <w:tcBorders>
              <w:top w:val="single" w:color="auto" w:sz="4" w:space="0"/>
              <w:left w:val="nil"/>
              <w:bottom w:val="single" w:color="auto" w:sz="4" w:space="0"/>
              <w:right w:val="single" w:color="auto" w:sz="4" w:space="0"/>
            </w:tcBorders>
            <w:vAlign w:val="center"/>
          </w:tcPr>
          <w:p w14:paraId="46DC607D">
            <w:pPr>
              <w:widowControl/>
              <w:spacing w:line="360" w:lineRule="auto"/>
              <w:jc w:val="center"/>
              <w:rPr>
                <w:rFonts w:ascii="仿宋" w:hAnsi="仿宋" w:eastAsia="仿宋" w:cs="Arial"/>
                <w:color w:val="auto"/>
                <w:kern w:val="0"/>
                <w:highlight w:val="none"/>
              </w:rPr>
            </w:pPr>
          </w:p>
        </w:tc>
        <w:tc>
          <w:tcPr>
            <w:tcW w:w="513" w:type="pct"/>
            <w:tcBorders>
              <w:top w:val="single" w:color="auto" w:sz="4" w:space="0"/>
              <w:left w:val="nil"/>
              <w:bottom w:val="single" w:color="auto" w:sz="4" w:space="0"/>
              <w:right w:val="single" w:color="auto" w:sz="4" w:space="0"/>
            </w:tcBorders>
            <w:vAlign w:val="center"/>
          </w:tcPr>
          <w:p w14:paraId="46EBC48B">
            <w:pPr>
              <w:widowControl/>
              <w:spacing w:line="360" w:lineRule="auto"/>
              <w:jc w:val="center"/>
              <w:rPr>
                <w:rFonts w:ascii="仿宋" w:hAnsi="仿宋" w:eastAsia="仿宋" w:cs="Arial"/>
                <w:color w:val="auto"/>
                <w:kern w:val="0"/>
                <w:highlight w:val="none"/>
              </w:rPr>
            </w:pPr>
          </w:p>
        </w:tc>
        <w:tc>
          <w:tcPr>
            <w:tcW w:w="512" w:type="pct"/>
            <w:tcBorders>
              <w:top w:val="single" w:color="auto" w:sz="4" w:space="0"/>
              <w:left w:val="nil"/>
              <w:bottom w:val="single" w:color="auto" w:sz="4" w:space="0"/>
              <w:right w:val="single" w:color="auto" w:sz="4" w:space="0"/>
            </w:tcBorders>
            <w:vAlign w:val="center"/>
          </w:tcPr>
          <w:p w14:paraId="05BA5BC7">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vAlign w:val="center"/>
          </w:tcPr>
          <w:p w14:paraId="6D019422">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tcPr>
          <w:p w14:paraId="5C4B00C9">
            <w:pPr>
              <w:widowControl/>
              <w:spacing w:line="360" w:lineRule="auto"/>
              <w:jc w:val="center"/>
              <w:rPr>
                <w:rFonts w:ascii="仿宋" w:hAnsi="仿宋" w:eastAsia="仿宋" w:cs="Arial"/>
                <w:color w:val="auto"/>
                <w:kern w:val="0"/>
                <w:highlight w:val="none"/>
              </w:rPr>
            </w:pPr>
          </w:p>
        </w:tc>
      </w:tr>
      <w:tr w14:paraId="37379E36">
        <w:tblPrEx>
          <w:tblCellMar>
            <w:top w:w="0" w:type="dxa"/>
            <w:left w:w="108" w:type="dxa"/>
            <w:bottom w:w="0" w:type="dxa"/>
            <w:right w:w="108" w:type="dxa"/>
          </w:tblCellMar>
        </w:tblPrEx>
        <w:trPr>
          <w:trHeight w:val="537"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5961630D">
            <w:pPr>
              <w:widowControl/>
              <w:spacing w:line="360" w:lineRule="auto"/>
              <w:jc w:val="center"/>
              <w:rPr>
                <w:rFonts w:ascii="仿宋" w:hAnsi="仿宋" w:eastAsia="仿宋" w:cs="Arial"/>
                <w:color w:val="auto"/>
                <w:kern w:val="0"/>
                <w:highlight w:val="none"/>
              </w:rPr>
            </w:pPr>
            <w:r>
              <w:rPr>
                <w:rFonts w:hint="eastAsia" w:ascii="仿宋" w:hAnsi="仿宋" w:eastAsia="仿宋"/>
                <w:color w:val="auto"/>
                <w:kern w:val="0"/>
                <w:highlight w:val="none"/>
              </w:rPr>
              <w:t>2</w:t>
            </w:r>
          </w:p>
        </w:tc>
        <w:tc>
          <w:tcPr>
            <w:tcW w:w="641" w:type="pct"/>
            <w:tcBorders>
              <w:top w:val="single" w:color="auto" w:sz="4" w:space="0"/>
              <w:left w:val="nil"/>
              <w:bottom w:val="single" w:color="auto" w:sz="4" w:space="0"/>
              <w:right w:val="single" w:color="auto" w:sz="4" w:space="0"/>
            </w:tcBorders>
            <w:vAlign w:val="center"/>
          </w:tcPr>
          <w:p w14:paraId="72EF0D12">
            <w:pPr>
              <w:widowControl/>
              <w:spacing w:line="360" w:lineRule="auto"/>
              <w:jc w:val="center"/>
              <w:rPr>
                <w:rFonts w:ascii="仿宋" w:hAnsi="仿宋" w:eastAsia="仿宋" w:cs="Arial"/>
                <w:color w:val="auto"/>
                <w:kern w:val="0"/>
                <w:highlight w:val="none"/>
              </w:rPr>
            </w:pPr>
          </w:p>
        </w:tc>
        <w:tc>
          <w:tcPr>
            <w:tcW w:w="705" w:type="pct"/>
            <w:tcBorders>
              <w:top w:val="single" w:color="auto" w:sz="4" w:space="0"/>
              <w:left w:val="nil"/>
              <w:bottom w:val="single" w:color="auto" w:sz="4" w:space="0"/>
              <w:right w:val="single" w:color="auto" w:sz="4" w:space="0"/>
            </w:tcBorders>
            <w:vAlign w:val="center"/>
          </w:tcPr>
          <w:p w14:paraId="04A221BF">
            <w:pPr>
              <w:widowControl/>
              <w:spacing w:line="360" w:lineRule="auto"/>
              <w:jc w:val="center"/>
              <w:rPr>
                <w:rFonts w:ascii="仿宋" w:hAnsi="仿宋" w:eastAsia="仿宋" w:cs="Arial"/>
                <w:color w:val="auto"/>
                <w:kern w:val="0"/>
                <w:highlight w:val="none"/>
              </w:rPr>
            </w:pPr>
          </w:p>
        </w:tc>
        <w:tc>
          <w:tcPr>
            <w:tcW w:w="577" w:type="pct"/>
            <w:tcBorders>
              <w:top w:val="single" w:color="auto" w:sz="4" w:space="0"/>
              <w:left w:val="nil"/>
              <w:bottom w:val="single" w:color="auto" w:sz="4" w:space="0"/>
              <w:right w:val="single" w:color="auto" w:sz="4" w:space="0"/>
            </w:tcBorders>
            <w:vAlign w:val="center"/>
          </w:tcPr>
          <w:p w14:paraId="5EC3509F">
            <w:pPr>
              <w:widowControl/>
              <w:spacing w:line="360" w:lineRule="auto"/>
              <w:jc w:val="center"/>
              <w:rPr>
                <w:rFonts w:ascii="仿宋" w:hAnsi="仿宋" w:eastAsia="仿宋" w:cs="Arial"/>
                <w:color w:val="auto"/>
                <w:kern w:val="0"/>
                <w:highlight w:val="none"/>
              </w:rPr>
            </w:pPr>
          </w:p>
        </w:tc>
        <w:tc>
          <w:tcPr>
            <w:tcW w:w="642" w:type="pct"/>
            <w:tcBorders>
              <w:top w:val="single" w:color="auto" w:sz="4" w:space="0"/>
              <w:left w:val="nil"/>
              <w:bottom w:val="single" w:color="auto" w:sz="4" w:space="0"/>
              <w:right w:val="single" w:color="auto" w:sz="4" w:space="0"/>
            </w:tcBorders>
            <w:vAlign w:val="center"/>
          </w:tcPr>
          <w:p w14:paraId="2A6B3938">
            <w:pPr>
              <w:widowControl/>
              <w:spacing w:line="360" w:lineRule="auto"/>
              <w:jc w:val="center"/>
              <w:rPr>
                <w:rFonts w:ascii="仿宋" w:hAnsi="仿宋" w:eastAsia="仿宋" w:cs="Arial"/>
                <w:color w:val="auto"/>
                <w:kern w:val="0"/>
                <w:highlight w:val="none"/>
              </w:rPr>
            </w:pPr>
          </w:p>
        </w:tc>
        <w:tc>
          <w:tcPr>
            <w:tcW w:w="513" w:type="pct"/>
            <w:tcBorders>
              <w:top w:val="single" w:color="auto" w:sz="4" w:space="0"/>
              <w:left w:val="nil"/>
              <w:bottom w:val="single" w:color="auto" w:sz="4" w:space="0"/>
              <w:right w:val="single" w:color="auto" w:sz="4" w:space="0"/>
            </w:tcBorders>
            <w:vAlign w:val="center"/>
          </w:tcPr>
          <w:p w14:paraId="71182BBA">
            <w:pPr>
              <w:widowControl/>
              <w:spacing w:line="360" w:lineRule="auto"/>
              <w:jc w:val="center"/>
              <w:rPr>
                <w:rFonts w:ascii="仿宋" w:hAnsi="仿宋" w:eastAsia="仿宋" w:cs="Arial"/>
                <w:color w:val="auto"/>
                <w:kern w:val="0"/>
                <w:highlight w:val="none"/>
              </w:rPr>
            </w:pPr>
          </w:p>
        </w:tc>
        <w:tc>
          <w:tcPr>
            <w:tcW w:w="512" w:type="pct"/>
            <w:tcBorders>
              <w:top w:val="single" w:color="auto" w:sz="4" w:space="0"/>
              <w:left w:val="nil"/>
              <w:bottom w:val="single" w:color="auto" w:sz="4" w:space="0"/>
              <w:right w:val="single" w:color="auto" w:sz="4" w:space="0"/>
            </w:tcBorders>
            <w:vAlign w:val="center"/>
          </w:tcPr>
          <w:p w14:paraId="492B421E">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vAlign w:val="center"/>
          </w:tcPr>
          <w:p w14:paraId="28F86692">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tcPr>
          <w:p w14:paraId="34AF9817">
            <w:pPr>
              <w:widowControl/>
              <w:spacing w:line="360" w:lineRule="auto"/>
              <w:jc w:val="center"/>
              <w:rPr>
                <w:rFonts w:ascii="仿宋" w:hAnsi="仿宋" w:eastAsia="仿宋" w:cs="Arial"/>
                <w:color w:val="auto"/>
                <w:kern w:val="0"/>
                <w:highlight w:val="none"/>
              </w:rPr>
            </w:pPr>
          </w:p>
        </w:tc>
      </w:tr>
      <w:tr w14:paraId="16024937">
        <w:tblPrEx>
          <w:tblCellMar>
            <w:top w:w="0" w:type="dxa"/>
            <w:left w:w="108" w:type="dxa"/>
            <w:bottom w:w="0" w:type="dxa"/>
            <w:right w:w="108" w:type="dxa"/>
          </w:tblCellMar>
        </w:tblPrEx>
        <w:trPr>
          <w:trHeight w:val="537"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0E7AEED2">
            <w:pPr>
              <w:widowControl/>
              <w:spacing w:line="360" w:lineRule="auto"/>
              <w:jc w:val="center"/>
              <w:rPr>
                <w:rFonts w:ascii="仿宋" w:hAnsi="仿宋" w:eastAsia="仿宋" w:cs="Arial"/>
                <w:color w:val="auto"/>
                <w:kern w:val="0"/>
                <w:highlight w:val="none"/>
              </w:rPr>
            </w:pPr>
            <w:r>
              <w:rPr>
                <w:rFonts w:hint="eastAsia" w:ascii="仿宋" w:hAnsi="仿宋" w:eastAsia="仿宋"/>
                <w:color w:val="auto"/>
                <w:kern w:val="0"/>
                <w:highlight w:val="none"/>
              </w:rPr>
              <w:t>3</w:t>
            </w:r>
          </w:p>
        </w:tc>
        <w:tc>
          <w:tcPr>
            <w:tcW w:w="641" w:type="pct"/>
            <w:tcBorders>
              <w:top w:val="single" w:color="auto" w:sz="4" w:space="0"/>
              <w:left w:val="nil"/>
              <w:bottom w:val="single" w:color="auto" w:sz="4" w:space="0"/>
              <w:right w:val="single" w:color="auto" w:sz="4" w:space="0"/>
            </w:tcBorders>
            <w:vAlign w:val="center"/>
          </w:tcPr>
          <w:p w14:paraId="175A4EED">
            <w:pPr>
              <w:widowControl/>
              <w:spacing w:line="360" w:lineRule="auto"/>
              <w:jc w:val="center"/>
              <w:rPr>
                <w:rFonts w:ascii="仿宋" w:hAnsi="仿宋" w:eastAsia="仿宋" w:cs="Arial"/>
                <w:color w:val="auto"/>
                <w:kern w:val="0"/>
                <w:highlight w:val="none"/>
              </w:rPr>
            </w:pPr>
          </w:p>
        </w:tc>
        <w:tc>
          <w:tcPr>
            <w:tcW w:w="705" w:type="pct"/>
            <w:tcBorders>
              <w:top w:val="single" w:color="auto" w:sz="4" w:space="0"/>
              <w:left w:val="nil"/>
              <w:bottom w:val="single" w:color="auto" w:sz="4" w:space="0"/>
              <w:right w:val="single" w:color="auto" w:sz="4" w:space="0"/>
            </w:tcBorders>
            <w:vAlign w:val="center"/>
          </w:tcPr>
          <w:p w14:paraId="4C2FA900">
            <w:pPr>
              <w:widowControl/>
              <w:spacing w:line="360" w:lineRule="auto"/>
              <w:jc w:val="center"/>
              <w:rPr>
                <w:rFonts w:ascii="仿宋" w:hAnsi="仿宋" w:eastAsia="仿宋" w:cs="Arial"/>
                <w:color w:val="auto"/>
                <w:kern w:val="0"/>
                <w:highlight w:val="none"/>
              </w:rPr>
            </w:pPr>
          </w:p>
        </w:tc>
        <w:tc>
          <w:tcPr>
            <w:tcW w:w="577" w:type="pct"/>
            <w:tcBorders>
              <w:top w:val="single" w:color="auto" w:sz="4" w:space="0"/>
              <w:left w:val="nil"/>
              <w:bottom w:val="single" w:color="auto" w:sz="4" w:space="0"/>
              <w:right w:val="single" w:color="auto" w:sz="4" w:space="0"/>
            </w:tcBorders>
            <w:vAlign w:val="center"/>
          </w:tcPr>
          <w:p w14:paraId="5756A574">
            <w:pPr>
              <w:widowControl/>
              <w:spacing w:line="360" w:lineRule="auto"/>
              <w:jc w:val="center"/>
              <w:rPr>
                <w:rFonts w:ascii="仿宋" w:hAnsi="仿宋" w:eastAsia="仿宋" w:cs="Arial"/>
                <w:color w:val="auto"/>
                <w:kern w:val="0"/>
                <w:highlight w:val="none"/>
              </w:rPr>
            </w:pPr>
          </w:p>
        </w:tc>
        <w:tc>
          <w:tcPr>
            <w:tcW w:w="642" w:type="pct"/>
            <w:tcBorders>
              <w:top w:val="single" w:color="auto" w:sz="4" w:space="0"/>
              <w:left w:val="nil"/>
              <w:bottom w:val="single" w:color="auto" w:sz="4" w:space="0"/>
              <w:right w:val="single" w:color="auto" w:sz="4" w:space="0"/>
            </w:tcBorders>
            <w:vAlign w:val="center"/>
          </w:tcPr>
          <w:p w14:paraId="7C35539A">
            <w:pPr>
              <w:widowControl/>
              <w:spacing w:line="360" w:lineRule="auto"/>
              <w:jc w:val="center"/>
              <w:rPr>
                <w:rFonts w:ascii="仿宋" w:hAnsi="仿宋" w:eastAsia="仿宋" w:cs="Arial"/>
                <w:color w:val="auto"/>
                <w:kern w:val="0"/>
                <w:highlight w:val="none"/>
              </w:rPr>
            </w:pPr>
          </w:p>
        </w:tc>
        <w:tc>
          <w:tcPr>
            <w:tcW w:w="513" w:type="pct"/>
            <w:tcBorders>
              <w:top w:val="single" w:color="auto" w:sz="4" w:space="0"/>
              <w:left w:val="nil"/>
              <w:bottom w:val="single" w:color="auto" w:sz="4" w:space="0"/>
              <w:right w:val="single" w:color="auto" w:sz="4" w:space="0"/>
            </w:tcBorders>
            <w:vAlign w:val="center"/>
          </w:tcPr>
          <w:p w14:paraId="2D781AFD">
            <w:pPr>
              <w:widowControl/>
              <w:spacing w:line="360" w:lineRule="auto"/>
              <w:jc w:val="center"/>
              <w:rPr>
                <w:rFonts w:ascii="仿宋" w:hAnsi="仿宋" w:eastAsia="仿宋" w:cs="Arial"/>
                <w:color w:val="auto"/>
                <w:kern w:val="0"/>
                <w:highlight w:val="none"/>
              </w:rPr>
            </w:pPr>
          </w:p>
        </w:tc>
        <w:tc>
          <w:tcPr>
            <w:tcW w:w="512" w:type="pct"/>
            <w:tcBorders>
              <w:top w:val="single" w:color="auto" w:sz="4" w:space="0"/>
              <w:left w:val="nil"/>
              <w:bottom w:val="single" w:color="auto" w:sz="4" w:space="0"/>
              <w:right w:val="single" w:color="auto" w:sz="4" w:space="0"/>
            </w:tcBorders>
            <w:vAlign w:val="center"/>
          </w:tcPr>
          <w:p w14:paraId="008F6FE2">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vAlign w:val="center"/>
          </w:tcPr>
          <w:p w14:paraId="63B15F03">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tcPr>
          <w:p w14:paraId="565C0A18">
            <w:pPr>
              <w:widowControl/>
              <w:spacing w:line="360" w:lineRule="auto"/>
              <w:jc w:val="center"/>
              <w:rPr>
                <w:rFonts w:ascii="仿宋" w:hAnsi="仿宋" w:eastAsia="仿宋" w:cs="Arial"/>
                <w:color w:val="auto"/>
                <w:kern w:val="0"/>
                <w:highlight w:val="none"/>
              </w:rPr>
            </w:pPr>
          </w:p>
        </w:tc>
      </w:tr>
      <w:tr w14:paraId="67201E51">
        <w:tblPrEx>
          <w:tblCellMar>
            <w:top w:w="0" w:type="dxa"/>
            <w:left w:w="108" w:type="dxa"/>
            <w:bottom w:w="0" w:type="dxa"/>
            <w:right w:w="108" w:type="dxa"/>
          </w:tblCellMar>
        </w:tblPrEx>
        <w:trPr>
          <w:trHeight w:val="537" w:hRule="atLeast"/>
          <w:jc w:val="center"/>
        </w:trPr>
        <w:tc>
          <w:tcPr>
            <w:tcW w:w="297" w:type="pct"/>
            <w:tcBorders>
              <w:top w:val="single" w:color="auto" w:sz="4" w:space="0"/>
              <w:left w:val="single" w:color="auto" w:sz="4" w:space="0"/>
              <w:bottom w:val="single" w:color="auto" w:sz="4" w:space="0"/>
              <w:right w:val="single" w:color="auto" w:sz="4" w:space="0"/>
            </w:tcBorders>
            <w:vAlign w:val="center"/>
          </w:tcPr>
          <w:p w14:paraId="630D41B5">
            <w:pPr>
              <w:widowControl/>
              <w:spacing w:line="360" w:lineRule="auto"/>
              <w:jc w:val="center"/>
              <w:rPr>
                <w:rFonts w:ascii="仿宋" w:hAnsi="仿宋" w:eastAsia="仿宋" w:cs="Arial"/>
                <w:color w:val="auto"/>
                <w:kern w:val="0"/>
                <w:highlight w:val="none"/>
              </w:rPr>
            </w:pPr>
            <w:r>
              <w:rPr>
                <w:rFonts w:ascii="仿宋" w:hAnsi="仿宋" w:eastAsia="仿宋"/>
                <w:color w:val="auto"/>
                <w:kern w:val="0"/>
                <w:highlight w:val="none"/>
              </w:rPr>
              <w:t>…</w:t>
            </w:r>
          </w:p>
        </w:tc>
        <w:tc>
          <w:tcPr>
            <w:tcW w:w="641" w:type="pct"/>
            <w:tcBorders>
              <w:top w:val="single" w:color="auto" w:sz="4" w:space="0"/>
              <w:left w:val="nil"/>
              <w:bottom w:val="single" w:color="auto" w:sz="4" w:space="0"/>
              <w:right w:val="single" w:color="auto" w:sz="4" w:space="0"/>
            </w:tcBorders>
            <w:vAlign w:val="center"/>
          </w:tcPr>
          <w:p w14:paraId="2D9C0606">
            <w:pPr>
              <w:widowControl/>
              <w:spacing w:line="360" w:lineRule="auto"/>
              <w:jc w:val="center"/>
              <w:rPr>
                <w:rFonts w:ascii="仿宋" w:hAnsi="仿宋" w:eastAsia="仿宋" w:cs="Arial"/>
                <w:color w:val="auto"/>
                <w:kern w:val="0"/>
                <w:highlight w:val="none"/>
              </w:rPr>
            </w:pPr>
          </w:p>
        </w:tc>
        <w:tc>
          <w:tcPr>
            <w:tcW w:w="705" w:type="pct"/>
            <w:tcBorders>
              <w:top w:val="single" w:color="auto" w:sz="4" w:space="0"/>
              <w:left w:val="nil"/>
              <w:bottom w:val="single" w:color="auto" w:sz="4" w:space="0"/>
              <w:right w:val="single" w:color="auto" w:sz="4" w:space="0"/>
            </w:tcBorders>
            <w:vAlign w:val="center"/>
          </w:tcPr>
          <w:p w14:paraId="27CC6842">
            <w:pPr>
              <w:widowControl/>
              <w:spacing w:line="360" w:lineRule="auto"/>
              <w:jc w:val="center"/>
              <w:rPr>
                <w:rFonts w:ascii="仿宋" w:hAnsi="仿宋" w:eastAsia="仿宋" w:cs="Arial"/>
                <w:color w:val="auto"/>
                <w:kern w:val="0"/>
                <w:highlight w:val="none"/>
              </w:rPr>
            </w:pPr>
          </w:p>
        </w:tc>
        <w:tc>
          <w:tcPr>
            <w:tcW w:w="577" w:type="pct"/>
            <w:tcBorders>
              <w:top w:val="single" w:color="auto" w:sz="4" w:space="0"/>
              <w:left w:val="nil"/>
              <w:bottom w:val="single" w:color="auto" w:sz="4" w:space="0"/>
              <w:right w:val="single" w:color="auto" w:sz="4" w:space="0"/>
            </w:tcBorders>
            <w:vAlign w:val="center"/>
          </w:tcPr>
          <w:p w14:paraId="1BFE036B">
            <w:pPr>
              <w:widowControl/>
              <w:spacing w:line="360" w:lineRule="auto"/>
              <w:jc w:val="center"/>
              <w:rPr>
                <w:rFonts w:ascii="仿宋" w:hAnsi="仿宋" w:eastAsia="仿宋" w:cs="Arial"/>
                <w:color w:val="auto"/>
                <w:kern w:val="0"/>
                <w:highlight w:val="none"/>
              </w:rPr>
            </w:pPr>
          </w:p>
        </w:tc>
        <w:tc>
          <w:tcPr>
            <w:tcW w:w="642" w:type="pct"/>
            <w:tcBorders>
              <w:top w:val="single" w:color="auto" w:sz="4" w:space="0"/>
              <w:left w:val="nil"/>
              <w:bottom w:val="single" w:color="auto" w:sz="4" w:space="0"/>
              <w:right w:val="single" w:color="auto" w:sz="4" w:space="0"/>
            </w:tcBorders>
            <w:vAlign w:val="center"/>
          </w:tcPr>
          <w:p w14:paraId="3671D29E">
            <w:pPr>
              <w:widowControl/>
              <w:spacing w:line="360" w:lineRule="auto"/>
              <w:jc w:val="center"/>
              <w:rPr>
                <w:rFonts w:ascii="仿宋" w:hAnsi="仿宋" w:eastAsia="仿宋" w:cs="Arial"/>
                <w:color w:val="auto"/>
                <w:kern w:val="0"/>
                <w:highlight w:val="none"/>
              </w:rPr>
            </w:pPr>
          </w:p>
        </w:tc>
        <w:tc>
          <w:tcPr>
            <w:tcW w:w="513" w:type="pct"/>
            <w:tcBorders>
              <w:top w:val="single" w:color="auto" w:sz="4" w:space="0"/>
              <w:left w:val="nil"/>
              <w:bottom w:val="single" w:color="auto" w:sz="4" w:space="0"/>
              <w:right w:val="single" w:color="auto" w:sz="4" w:space="0"/>
            </w:tcBorders>
            <w:vAlign w:val="center"/>
          </w:tcPr>
          <w:p w14:paraId="687DC764">
            <w:pPr>
              <w:widowControl/>
              <w:spacing w:line="360" w:lineRule="auto"/>
              <w:jc w:val="center"/>
              <w:rPr>
                <w:rFonts w:ascii="仿宋" w:hAnsi="仿宋" w:eastAsia="仿宋" w:cs="Arial"/>
                <w:color w:val="auto"/>
                <w:kern w:val="0"/>
                <w:highlight w:val="none"/>
              </w:rPr>
            </w:pPr>
          </w:p>
        </w:tc>
        <w:tc>
          <w:tcPr>
            <w:tcW w:w="512" w:type="pct"/>
            <w:tcBorders>
              <w:top w:val="single" w:color="auto" w:sz="4" w:space="0"/>
              <w:left w:val="nil"/>
              <w:bottom w:val="single" w:color="auto" w:sz="4" w:space="0"/>
              <w:right w:val="single" w:color="auto" w:sz="4" w:space="0"/>
            </w:tcBorders>
            <w:vAlign w:val="center"/>
          </w:tcPr>
          <w:p w14:paraId="10EEEEEC">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vAlign w:val="center"/>
          </w:tcPr>
          <w:p w14:paraId="587384EC">
            <w:pPr>
              <w:widowControl/>
              <w:spacing w:line="360" w:lineRule="auto"/>
              <w:jc w:val="center"/>
              <w:rPr>
                <w:rFonts w:ascii="仿宋" w:hAnsi="仿宋" w:eastAsia="仿宋" w:cs="Arial"/>
                <w:color w:val="auto"/>
                <w:kern w:val="0"/>
                <w:highlight w:val="none"/>
              </w:rPr>
            </w:pPr>
          </w:p>
        </w:tc>
        <w:tc>
          <w:tcPr>
            <w:tcW w:w="554" w:type="pct"/>
            <w:tcBorders>
              <w:top w:val="single" w:color="auto" w:sz="4" w:space="0"/>
              <w:left w:val="nil"/>
              <w:bottom w:val="single" w:color="auto" w:sz="4" w:space="0"/>
              <w:right w:val="single" w:color="auto" w:sz="4" w:space="0"/>
            </w:tcBorders>
          </w:tcPr>
          <w:p w14:paraId="41BEAEEB">
            <w:pPr>
              <w:widowControl/>
              <w:spacing w:line="360" w:lineRule="auto"/>
              <w:jc w:val="center"/>
              <w:rPr>
                <w:rFonts w:ascii="仿宋" w:hAnsi="仿宋" w:eastAsia="仿宋" w:cs="Arial"/>
                <w:color w:val="auto"/>
                <w:kern w:val="0"/>
                <w:highlight w:val="none"/>
              </w:rPr>
            </w:pPr>
          </w:p>
        </w:tc>
      </w:tr>
    </w:tbl>
    <w:p w14:paraId="22AA2539">
      <w:pPr>
        <w:pStyle w:val="74"/>
        <w:ind w:firstLine="480"/>
        <w:rPr>
          <w:color w:val="auto"/>
          <w:highlight w:val="none"/>
        </w:rPr>
      </w:pPr>
    </w:p>
    <w:p w14:paraId="79BBA02A">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ascii="仿宋" w:hAnsi="仿宋" w:eastAsia="仿宋" w:cs="Arial"/>
          <w:color w:val="auto"/>
          <w:sz w:val="24"/>
          <w:highlight w:val="none"/>
        </w:rPr>
      </w:pPr>
    </w:p>
    <w:p w14:paraId="08E3DB54">
      <w:pPr>
        <w:spacing w:line="360" w:lineRule="auto"/>
        <w:jc w:val="left"/>
        <w:rPr>
          <w:rFonts w:ascii="仿宋" w:hAnsi="仿宋" w:eastAsia="仿宋" w:cs="Arial"/>
          <w:color w:val="auto"/>
          <w:highlight w:val="none"/>
        </w:rPr>
      </w:pPr>
    </w:p>
    <w:p w14:paraId="1D354446">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供应商名称：XXXX（盖单位公章）</w:t>
      </w:r>
    </w:p>
    <w:p w14:paraId="550C6024">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法定代表人/单位负责人或授权代表（签字或加盖个人印章）：XXXX</w:t>
      </w:r>
    </w:p>
    <w:p w14:paraId="76837579">
      <w:pPr>
        <w:spacing w:line="360" w:lineRule="auto"/>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日期: XXXX</w:t>
      </w:r>
    </w:p>
    <w:p w14:paraId="4070AAD4">
      <w:pPr>
        <w:spacing w:line="360" w:lineRule="auto"/>
        <w:ind w:firstLine="480" w:firstLineChars="200"/>
        <w:jc w:val="left"/>
        <w:rPr>
          <w:rFonts w:ascii="仿宋" w:hAnsi="仿宋" w:eastAsia="仿宋"/>
          <w:color w:val="auto"/>
          <w:sz w:val="24"/>
          <w:highlight w:val="none"/>
        </w:rPr>
      </w:pPr>
    </w:p>
    <w:p w14:paraId="4A37DE72">
      <w:pPr>
        <w:spacing w:line="360" w:lineRule="auto"/>
        <w:ind w:firstLine="480" w:firstLineChars="200"/>
        <w:jc w:val="left"/>
        <w:rPr>
          <w:rFonts w:ascii="仿宋" w:hAnsi="仿宋" w:eastAsia="仿宋"/>
          <w:color w:val="auto"/>
          <w:sz w:val="24"/>
          <w:highlight w:val="none"/>
        </w:rPr>
      </w:pPr>
    </w:p>
    <w:p w14:paraId="0766126C">
      <w:pPr>
        <w:widowControl/>
        <w:jc w:val="left"/>
        <w:rPr>
          <w:rFonts w:ascii="仿宋" w:hAnsi="仿宋" w:eastAsia="仿宋"/>
          <w:color w:val="auto"/>
          <w:sz w:val="24"/>
          <w:highlight w:val="none"/>
        </w:rPr>
      </w:pPr>
      <w:r>
        <w:rPr>
          <w:rFonts w:ascii="仿宋" w:hAnsi="仿宋" w:eastAsia="仿宋"/>
          <w:color w:val="auto"/>
          <w:sz w:val="24"/>
          <w:highlight w:val="none"/>
        </w:rPr>
        <w:br w:type="page"/>
      </w:r>
    </w:p>
    <w:p w14:paraId="74333A01">
      <w:pPr>
        <w:spacing w:line="360" w:lineRule="auto"/>
        <w:rPr>
          <w:rFonts w:ascii="仿宋" w:hAnsi="仿宋" w:eastAsia="仿宋"/>
          <w:b/>
          <w:color w:val="auto"/>
          <w:sz w:val="28"/>
          <w:szCs w:val="28"/>
          <w:highlight w:val="none"/>
        </w:rPr>
      </w:pPr>
      <w:r>
        <w:rPr>
          <w:rFonts w:hint="eastAsia" w:ascii="仿宋" w:hAnsi="仿宋" w:eastAsia="仿宋"/>
          <w:b/>
          <w:color w:val="auto"/>
          <w:sz w:val="28"/>
          <w:szCs w:val="28"/>
          <w:highlight w:val="none"/>
        </w:rPr>
        <w:t>格式2-8</w:t>
      </w:r>
    </w:p>
    <w:p w14:paraId="403D7FB0">
      <w:pPr>
        <w:spacing w:line="360" w:lineRule="auto"/>
        <w:jc w:val="center"/>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七、项目管理机构</w:t>
      </w:r>
    </w:p>
    <w:p w14:paraId="5F301901">
      <w:pPr>
        <w:spacing w:line="360" w:lineRule="auto"/>
        <w:rPr>
          <w:rFonts w:ascii="仿宋" w:hAnsi="仿宋" w:eastAsia="仿宋"/>
          <w:color w:val="auto"/>
          <w:sz w:val="32"/>
          <w:szCs w:val="32"/>
          <w:highlight w:val="none"/>
        </w:rPr>
      </w:pPr>
    </w:p>
    <w:p w14:paraId="60543CA3">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 xml:space="preserve"> (一)项目管理机构组成表</w:t>
      </w:r>
    </w:p>
    <w:p w14:paraId="4C92182A">
      <w:pPr>
        <w:autoSpaceDE w:val="0"/>
        <w:autoSpaceDN w:val="0"/>
        <w:adjustRightInd w:val="0"/>
        <w:spacing w:line="360" w:lineRule="auto"/>
        <w:ind w:left="220" w:right="-20"/>
        <w:jc w:val="center"/>
        <w:rPr>
          <w:rFonts w:ascii="仿宋" w:hAnsi="仿宋" w:eastAsia="仿宋"/>
          <w:b/>
          <w:bCs/>
          <w:color w:val="auto"/>
          <w:highlight w:val="none"/>
        </w:rPr>
      </w:pPr>
      <w:r>
        <w:rPr>
          <w:rFonts w:hint="eastAsia" w:ascii="仿宋" w:hAnsi="仿宋" w:eastAsia="仿宋"/>
          <w:b/>
          <w:bCs/>
          <w:color w:val="auto"/>
          <w:highlight w:val="none"/>
        </w:rPr>
        <w:t xml:space="preserve"> </w:t>
      </w:r>
    </w:p>
    <w:tbl>
      <w:tblPr>
        <w:tblStyle w:val="41"/>
        <w:tblW w:w="9366" w:type="dxa"/>
        <w:jc w:val="center"/>
        <w:tblLayout w:type="fixed"/>
        <w:tblCellMar>
          <w:top w:w="0" w:type="dxa"/>
          <w:left w:w="0" w:type="dxa"/>
          <w:bottom w:w="0" w:type="dxa"/>
          <w:right w:w="0" w:type="dxa"/>
        </w:tblCellMar>
      </w:tblPr>
      <w:tblGrid>
        <w:gridCol w:w="857"/>
        <w:gridCol w:w="1695"/>
        <w:gridCol w:w="1423"/>
        <w:gridCol w:w="1276"/>
        <w:gridCol w:w="1301"/>
        <w:gridCol w:w="1134"/>
        <w:gridCol w:w="1680"/>
      </w:tblGrid>
      <w:tr w14:paraId="484EEF95">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vAlign w:val="center"/>
          </w:tcPr>
          <w:p w14:paraId="64BAAC9E">
            <w:pPr>
              <w:spacing w:line="360" w:lineRule="auto"/>
              <w:jc w:val="center"/>
              <w:rPr>
                <w:rFonts w:ascii="仿宋" w:hAnsi="仿宋" w:eastAsia="仿宋" w:cs="Arial"/>
                <w:color w:val="auto"/>
                <w:highlight w:val="none"/>
              </w:rPr>
            </w:pPr>
            <w:r>
              <w:rPr>
                <w:rFonts w:hint="eastAsia" w:ascii="仿宋" w:hAnsi="仿宋" w:eastAsia="仿宋"/>
                <w:color w:val="auto"/>
                <w:highlight w:val="none"/>
              </w:rPr>
              <w:t>序号</w:t>
            </w:r>
          </w:p>
        </w:tc>
        <w:tc>
          <w:tcPr>
            <w:tcW w:w="1695" w:type="dxa"/>
            <w:vMerge w:val="restart"/>
            <w:tcBorders>
              <w:top w:val="single" w:color="auto" w:sz="4" w:space="0"/>
              <w:left w:val="nil"/>
              <w:right w:val="single" w:color="auto" w:sz="4" w:space="0"/>
            </w:tcBorders>
            <w:vAlign w:val="center"/>
          </w:tcPr>
          <w:p w14:paraId="79D19061">
            <w:pPr>
              <w:spacing w:line="360" w:lineRule="auto"/>
              <w:jc w:val="center"/>
              <w:rPr>
                <w:rFonts w:ascii="仿宋" w:hAnsi="仿宋" w:eastAsia="仿宋" w:cs="Arial"/>
                <w:color w:val="auto"/>
                <w:highlight w:val="none"/>
              </w:rPr>
            </w:pPr>
            <w:r>
              <w:rPr>
                <w:rFonts w:hint="eastAsia" w:ascii="仿宋" w:hAnsi="仿宋" w:eastAsia="仿宋"/>
                <w:color w:val="auto"/>
                <w:highlight w:val="none"/>
              </w:rPr>
              <w:t>职务</w:t>
            </w:r>
          </w:p>
        </w:tc>
        <w:tc>
          <w:tcPr>
            <w:tcW w:w="1423" w:type="dxa"/>
            <w:vMerge w:val="restart"/>
            <w:tcBorders>
              <w:top w:val="single" w:color="auto" w:sz="4" w:space="0"/>
              <w:left w:val="nil"/>
              <w:right w:val="single" w:color="auto" w:sz="4" w:space="0"/>
            </w:tcBorders>
            <w:vAlign w:val="center"/>
          </w:tcPr>
          <w:p w14:paraId="03BAE0F6">
            <w:pPr>
              <w:spacing w:line="360" w:lineRule="auto"/>
              <w:jc w:val="center"/>
              <w:rPr>
                <w:rFonts w:ascii="仿宋" w:hAnsi="仿宋" w:eastAsia="仿宋" w:cs="Arial"/>
                <w:color w:val="auto"/>
                <w:highlight w:val="none"/>
              </w:rPr>
            </w:pPr>
            <w:r>
              <w:rPr>
                <w:rFonts w:hint="eastAsia" w:ascii="仿宋" w:hAnsi="仿宋" w:eastAsia="仿宋"/>
                <w:color w:val="auto"/>
                <w:highlight w:val="none"/>
              </w:rPr>
              <w:t>姓名</w:t>
            </w:r>
          </w:p>
        </w:tc>
        <w:tc>
          <w:tcPr>
            <w:tcW w:w="2577" w:type="dxa"/>
            <w:gridSpan w:val="2"/>
            <w:tcBorders>
              <w:top w:val="single" w:color="auto" w:sz="4" w:space="0"/>
              <w:left w:val="nil"/>
              <w:bottom w:val="single" w:color="auto" w:sz="4" w:space="0"/>
              <w:right w:val="single" w:color="auto" w:sz="4" w:space="0"/>
            </w:tcBorders>
            <w:vAlign w:val="center"/>
          </w:tcPr>
          <w:p w14:paraId="6B4D1767">
            <w:pPr>
              <w:spacing w:line="360" w:lineRule="auto"/>
              <w:jc w:val="center"/>
              <w:rPr>
                <w:rFonts w:ascii="仿宋" w:hAnsi="仿宋" w:eastAsia="仿宋" w:cs="Arial"/>
                <w:color w:val="auto"/>
                <w:highlight w:val="none"/>
              </w:rPr>
            </w:pPr>
            <w:r>
              <w:rPr>
                <w:rFonts w:hint="eastAsia" w:ascii="仿宋" w:hAnsi="仿宋" w:eastAsia="仿宋"/>
                <w:color w:val="auto"/>
                <w:highlight w:val="none"/>
              </w:rPr>
              <w:t>执业或职业资格</w:t>
            </w:r>
          </w:p>
        </w:tc>
        <w:tc>
          <w:tcPr>
            <w:tcW w:w="2814" w:type="dxa"/>
            <w:gridSpan w:val="2"/>
            <w:tcBorders>
              <w:top w:val="single" w:color="auto" w:sz="4" w:space="0"/>
              <w:left w:val="nil"/>
              <w:bottom w:val="single" w:color="auto" w:sz="4" w:space="0"/>
              <w:right w:val="single" w:color="auto" w:sz="4" w:space="0"/>
            </w:tcBorders>
            <w:vAlign w:val="center"/>
          </w:tcPr>
          <w:p w14:paraId="1FAED36E">
            <w:pPr>
              <w:spacing w:line="360" w:lineRule="auto"/>
              <w:jc w:val="center"/>
              <w:rPr>
                <w:rFonts w:ascii="仿宋" w:hAnsi="仿宋" w:eastAsia="仿宋"/>
                <w:color w:val="auto"/>
                <w:highlight w:val="none"/>
              </w:rPr>
            </w:pPr>
            <w:r>
              <w:rPr>
                <w:rFonts w:hint="eastAsia" w:ascii="仿宋" w:hAnsi="仿宋" w:eastAsia="仿宋"/>
                <w:color w:val="auto"/>
                <w:highlight w:val="none"/>
              </w:rPr>
              <w:t>职称</w:t>
            </w:r>
          </w:p>
        </w:tc>
      </w:tr>
      <w:tr w14:paraId="453F5B1D">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vAlign w:val="center"/>
          </w:tcPr>
          <w:p w14:paraId="11508B9E">
            <w:pPr>
              <w:spacing w:line="360" w:lineRule="auto"/>
              <w:jc w:val="center"/>
              <w:rPr>
                <w:rFonts w:ascii="仿宋" w:hAnsi="仿宋" w:eastAsia="仿宋"/>
                <w:color w:val="auto"/>
                <w:highlight w:val="none"/>
              </w:rPr>
            </w:pPr>
          </w:p>
        </w:tc>
        <w:tc>
          <w:tcPr>
            <w:tcW w:w="1695" w:type="dxa"/>
            <w:vMerge w:val="continue"/>
            <w:tcBorders>
              <w:left w:val="nil"/>
              <w:bottom w:val="single" w:color="auto" w:sz="4" w:space="0"/>
              <w:right w:val="single" w:color="auto" w:sz="4" w:space="0"/>
            </w:tcBorders>
            <w:vAlign w:val="center"/>
          </w:tcPr>
          <w:p w14:paraId="4358E606">
            <w:pPr>
              <w:spacing w:line="360" w:lineRule="auto"/>
              <w:jc w:val="center"/>
              <w:rPr>
                <w:rFonts w:ascii="仿宋" w:hAnsi="仿宋" w:eastAsia="仿宋"/>
                <w:color w:val="auto"/>
                <w:highlight w:val="none"/>
              </w:rPr>
            </w:pPr>
          </w:p>
        </w:tc>
        <w:tc>
          <w:tcPr>
            <w:tcW w:w="1423" w:type="dxa"/>
            <w:vMerge w:val="continue"/>
            <w:tcBorders>
              <w:left w:val="nil"/>
              <w:bottom w:val="single" w:color="auto" w:sz="4" w:space="0"/>
              <w:right w:val="single" w:color="auto" w:sz="4" w:space="0"/>
            </w:tcBorders>
            <w:vAlign w:val="center"/>
          </w:tcPr>
          <w:p w14:paraId="7A88A59A">
            <w:pPr>
              <w:spacing w:line="360" w:lineRule="auto"/>
              <w:jc w:val="center"/>
              <w:rPr>
                <w:rFonts w:ascii="仿宋" w:hAnsi="仿宋" w:eastAsia="仿宋"/>
                <w:color w:val="auto"/>
                <w:highlight w:val="none"/>
              </w:rPr>
            </w:pPr>
          </w:p>
        </w:tc>
        <w:tc>
          <w:tcPr>
            <w:tcW w:w="1276" w:type="dxa"/>
            <w:tcBorders>
              <w:top w:val="single" w:color="auto" w:sz="4" w:space="0"/>
              <w:left w:val="nil"/>
              <w:bottom w:val="single" w:color="auto" w:sz="4" w:space="0"/>
              <w:right w:val="single" w:color="auto" w:sz="4" w:space="0"/>
            </w:tcBorders>
            <w:vAlign w:val="center"/>
          </w:tcPr>
          <w:p w14:paraId="12B7CD89">
            <w:pPr>
              <w:spacing w:line="360" w:lineRule="auto"/>
              <w:jc w:val="center"/>
              <w:rPr>
                <w:rFonts w:ascii="仿宋" w:hAnsi="仿宋" w:eastAsia="仿宋"/>
                <w:color w:val="auto"/>
                <w:highlight w:val="none"/>
              </w:rPr>
            </w:pPr>
            <w:r>
              <w:rPr>
                <w:rFonts w:hint="eastAsia" w:ascii="仿宋" w:hAnsi="仿宋" w:eastAsia="仿宋"/>
                <w:color w:val="auto"/>
                <w:highlight w:val="none"/>
              </w:rPr>
              <w:t>证书名称</w:t>
            </w:r>
          </w:p>
        </w:tc>
        <w:tc>
          <w:tcPr>
            <w:tcW w:w="1301" w:type="dxa"/>
            <w:tcBorders>
              <w:top w:val="single" w:color="auto" w:sz="4" w:space="0"/>
              <w:left w:val="nil"/>
              <w:bottom w:val="single" w:color="auto" w:sz="4" w:space="0"/>
              <w:right w:val="single" w:color="auto" w:sz="4" w:space="0"/>
            </w:tcBorders>
            <w:vAlign w:val="center"/>
          </w:tcPr>
          <w:p w14:paraId="1B8CA28F">
            <w:pPr>
              <w:spacing w:line="360" w:lineRule="auto"/>
              <w:jc w:val="center"/>
              <w:rPr>
                <w:rFonts w:ascii="仿宋" w:hAnsi="仿宋" w:eastAsia="仿宋"/>
                <w:color w:val="auto"/>
                <w:highlight w:val="none"/>
              </w:rPr>
            </w:pPr>
            <w:r>
              <w:rPr>
                <w:rFonts w:hint="eastAsia" w:ascii="仿宋" w:hAnsi="仿宋" w:eastAsia="仿宋"/>
                <w:color w:val="auto"/>
                <w:highlight w:val="none"/>
              </w:rPr>
              <w:t>证书编号</w:t>
            </w:r>
          </w:p>
        </w:tc>
        <w:tc>
          <w:tcPr>
            <w:tcW w:w="1134" w:type="dxa"/>
            <w:tcBorders>
              <w:top w:val="single" w:color="auto" w:sz="4" w:space="0"/>
              <w:left w:val="nil"/>
              <w:bottom w:val="single" w:color="auto" w:sz="4" w:space="0"/>
              <w:right w:val="single" w:color="auto" w:sz="4" w:space="0"/>
            </w:tcBorders>
            <w:vAlign w:val="center"/>
          </w:tcPr>
          <w:p w14:paraId="4B8AD44D">
            <w:pPr>
              <w:spacing w:line="360" w:lineRule="auto"/>
              <w:jc w:val="center"/>
              <w:rPr>
                <w:rFonts w:ascii="仿宋" w:hAnsi="仿宋" w:eastAsia="仿宋"/>
                <w:color w:val="auto"/>
                <w:highlight w:val="none"/>
              </w:rPr>
            </w:pPr>
            <w:r>
              <w:rPr>
                <w:rFonts w:hint="eastAsia" w:ascii="仿宋" w:hAnsi="仿宋" w:eastAsia="仿宋"/>
                <w:color w:val="auto"/>
                <w:highlight w:val="none"/>
              </w:rPr>
              <w:t>职称专业</w:t>
            </w:r>
          </w:p>
        </w:tc>
        <w:tc>
          <w:tcPr>
            <w:tcW w:w="1680" w:type="dxa"/>
            <w:tcBorders>
              <w:top w:val="single" w:color="auto" w:sz="4" w:space="0"/>
              <w:left w:val="nil"/>
              <w:bottom w:val="single" w:color="auto" w:sz="4" w:space="0"/>
              <w:right w:val="single" w:color="auto" w:sz="4" w:space="0"/>
            </w:tcBorders>
            <w:vAlign w:val="center"/>
          </w:tcPr>
          <w:p w14:paraId="015CC8B7">
            <w:pPr>
              <w:spacing w:line="360" w:lineRule="auto"/>
              <w:jc w:val="center"/>
              <w:rPr>
                <w:rFonts w:ascii="仿宋" w:hAnsi="仿宋" w:eastAsia="仿宋"/>
                <w:color w:val="auto"/>
                <w:highlight w:val="none"/>
              </w:rPr>
            </w:pPr>
            <w:r>
              <w:rPr>
                <w:rFonts w:hint="eastAsia" w:ascii="仿宋" w:hAnsi="仿宋" w:eastAsia="仿宋"/>
                <w:color w:val="auto"/>
                <w:highlight w:val="none"/>
              </w:rPr>
              <w:t>级别</w:t>
            </w:r>
          </w:p>
        </w:tc>
      </w:tr>
      <w:tr w14:paraId="0F193CF2">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04E7795D">
            <w:pPr>
              <w:spacing w:line="360" w:lineRule="auto"/>
              <w:jc w:val="center"/>
              <w:rPr>
                <w:rFonts w:ascii="仿宋" w:hAnsi="仿宋" w:eastAsia="仿宋" w:cs="Arial"/>
                <w:color w:val="auto"/>
                <w:highlight w:val="none"/>
              </w:rPr>
            </w:pPr>
            <w:r>
              <w:rPr>
                <w:rFonts w:hint="eastAsia" w:ascii="仿宋" w:hAnsi="仿宋" w:eastAsia="仿宋"/>
                <w:color w:val="auto"/>
                <w:highlight w:val="none"/>
              </w:rPr>
              <w:t>1.1</w:t>
            </w:r>
          </w:p>
        </w:tc>
        <w:tc>
          <w:tcPr>
            <w:tcW w:w="1695" w:type="dxa"/>
            <w:tcBorders>
              <w:top w:val="single" w:color="auto" w:sz="4" w:space="0"/>
              <w:left w:val="nil"/>
              <w:bottom w:val="single" w:color="auto" w:sz="4" w:space="0"/>
              <w:right w:val="single" w:color="auto" w:sz="4" w:space="0"/>
            </w:tcBorders>
            <w:vAlign w:val="center"/>
          </w:tcPr>
          <w:p w14:paraId="1F6B96D5">
            <w:pPr>
              <w:spacing w:line="360" w:lineRule="auto"/>
              <w:jc w:val="center"/>
              <w:rPr>
                <w:rFonts w:ascii="仿宋" w:hAnsi="仿宋" w:eastAsia="仿宋"/>
                <w:color w:val="auto"/>
                <w:highlight w:val="none"/>
              </w:rPr>
            </w:pPr>
            <w:r>
              <w:rPr>
                <w:rFonts w:hint="eastAsia" w:ascii="仿宋" w:hAnsi="仿宋" w:eastAsia="仿宋"/>
                <w:color w:val="auto"/>
                <w:highlight w:val="none"/>
              </w:rPr>
              <w:t>项目负责人（项目经理）</w:t>
            </w:r>
          </w:p>
        </w:tc>
        <w:tc>
          <w:tcPr>
            <w:tcW w:w="1423" w:type="dxa"/>
            <w:tcBorders>
              <w:top w:val="single" w:color="auto" w:sz="4" w:space="0"/>
              <w:left w:val="nil"/>
              <w:bottom w:val="single" w:color="auto" w:sz="4" w:space="0"/>
              <w:right w:val="single" w:color="auto" w:sz="4" w:space="0"/>
            </w:tcBorders>
            <w:vAlign w:val="center"/>
          </w:tcPr>
          <w:p w14:paraId="305A2D0D">
            <w:pPr>
              <w:spacing w:line="360" w:lineRule="auto"/>
              <w:jc w:val="center"/>
              <w:rPr>
                <w:rFonts w:ascii="仿宋" w:hAnsi="仿宋" w:eastAsia="仿宋" w:cs="Arial"/>
                <w:color w:val="auto"/>
                <w:highlight w:val="none"/>
              </w:rPr>
            </w:pPr>
          </w:p>
        </w:tc>
        <w:tc>
          <w:tcPr>
            <w:tcW w:w="1276" w:type="dxa"/>
            <w:tcBorders>
              <w:top w:val="single" w:color="auto" w:sz="4" w:space="0"/>
              <w:left w:val="nil"/>
              <w:bottom w:val="single" w:color="auto" w:sz="4" w:space="0"/>
              <w:right w:val="single" w:color="auto" w:sz="4" w:space="0"/>
            </w:tcBorders>
            <w:vAlign w:val="center"/>
          </w:tcPr>
          <w:p w14:paraId="5AF787E7">
            <w:pPr>
              <w:spacing w:line="360" w:lineRule="auto"/>
              <w:jc w:val="center"/>
              <w:rPr>
                <w:rFonts w:ascii="仿宋" w:hAnsi="仿宋" w:eastAsia="仿宋" w:cs="Arial"/>
                <w:color w:val="auto"/>
                <w:highlight w:val="none"/>
              </w:rPr>
            </w:pPr>
          </w:p>
        </w:tc>
        <w:tc>
          <w:tcPr>
            <w:tcW w:w="1301" w:type="dxa"/>
            <w:tcBorders>
              <w:top w:val="single" w:color="auto" w:sz="4" w:space="0"/>
              <w:left w:val="nil"/>
              <w:bottom w:val="single" w:color="auto" w:sz="4" w:space="0"/>
              <w:right w:val="single" w:color="auto" w:sz="4" w:space="0"/>
            </w:tcBorders>
            <w:vAlign w:val="center"/>
          </w:tcPr>
          <w:p w14:paraId="20C0838E">
            <w:pPr>
              <w:spacing w:line="360" w:lineRule="auto"/>
              <w:jc w:val="center"/>
              <w:rPr>
                <w:rFonts w:ascii="仿宋" w:hAnsi="仿宋" w:eastAsia="仿宋" w:cs="Arial"/>
                <w:color w:val="auto"/>
                <w:highlight w:val="none"/>
              </w:rPr>
            </w:pPr>
          </w:p>
        </w:tc>
        <w:tc>
          <w:tcPr>
            <w:tcW w:w="1134" w:type="dxa"/>
            <w:tcBorders>
              <w:top w:val="single" w:color="auto" w:sz="4" w:space="0"/>
              <w:left w:val="nil"/>
              <w:bottom w:val="single" w:color="auto" w:sz="4" w:space="0"/>
              <w:right w:val="single" w:color="auto" w:sz="4" w:space="0"/>
            </w:tcBorders>
            <w:vAlign w:val="center"/>
          </w:tcPr>
          <w:p w14:paraId="1B289E5A">
            <w:pPr>
              <w:spacing w:line="360" w:lineRule="auto"/>
              <w:jc w:val="center"/>
              <w:rPr>
                <w:rFonts w:ascii="仿宋" w:hAnsi="仿宋" w:eastAsia="仿宋" w:cs="Arial"/>
                <w:color w:val="auto"/>
                <w:highlight w:val="none"/>
              </w:rPr>
            </w:pPr>
          </w:p>
        </w:tc>
        <w:tc>
          <w:tcPr>
            <w:tcW w:w="1680" w:type="dxa"/>
            <w:tcBorders>
              <w:top w:val="single" w:color="auto" w:sz="4" w:space="0"/>
              <w:left w:val="nil"/>
              <w:bottom w:val="single" w:color="auto" w:sz="4" w:space="0"/>
              <w:right w:val="single" w:color="auto" w:sz="4" w:space="0"/>
            </w:tcBorders>
          </w:tcPr>
          <w:p w14:paraId="442AB045">
            <w:pPr>
              <w:spacing w:line="360" w:lineRule="auto"/>
              <w:jc w:val="center"/>
              <w:rPr>
                <w:rFonts w:ascii="仿宋" w:hAnsi="仿宋" w:eastAsia="仿宋" w:cs="Arial"/>
                <w:color w:val="auto"/>
                <w:highlight w:val="none"/>
              </w:rPr>
            </w:pPr>
          </w:p>
        </w:tc>
      </w:tr>
      <w:tr w14:paraId="78F1E19B">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19193828">
            <w:pPr>
              <w:spacing w:line="360" w:lineRule="auto"/>
              <w:jc w:val="center"/>
              <w:rPr>
                <w:rFonts w:ascii="仿宋" w:hAnsi="仿宋" w:eastAsia="仿宋" w:cs="Arial"/>
                <w:color w:val="auto"/>
                <w:highlight w:val="none"/>
              </w:rPr>
            </w:pPr>
            <w:r>
              <w:rPr>
                <w:rFonts w:hint="eastAsia" w:ascii="仿宋" w:hAnsi="仿宋" w:eastAsia="仿宋" w:cs="Arial"/>
                <w:color w:val="auto"/>
                <w:highlight w:val="none"/>
              </w:rPr>
              <w:t>1.2</w:t>
            </w:r>
          </w:p>
        </w:tc>
        <w:tc>
          <w:tcPr>
            <w:tcW w:w="1695" w:type="dxa"/>
            <w:tcBorders>
              <w:top w:val="single" w:color="auto" w:sz="4" w:space="0"/>
              <w:left w:val="nil"/>
              <w:bottom w:val="single" w:color="auto" w:sz="4" w:space="0"/>
              <w:right w:val="single" w:color="auto" w:sz="4" w:space="0"/>
            </w:tcBorders>
            <w:vAlign w:val="center"/>
          </w:tcPr>
          <w:p w14:paraId="160F5074">
            <w:pPr>
              <w:spacing w:line="360" w:lineRule="auto"/>
              <w:jc w:val="left"/>
              <w:rPr>
                <w:rFonts w:ascii="仿宋" w:hAnsi="仿宋" w:eastAsia="仿宋" w:cs="Arial"/>
                <w:color w:val="auto"/>
                <w:highlight w:val="none"/>
              </w:rPr>
            </w:pPr>
            <w:r>
              <w:rPr>
                <w:rFonts w:hint="eastAsia" w:ascii="仿宋" w:hAnsi="仿宋" w:eastAsia="仿宋"/>
                <w:color w:val="auto"/>
                <w:highlight w:val="none"/>
              </w:rPr>
              <w:t xml:space="preserve"> 项目技术负责人</w:t>
            </w:r>
          </w:p>
        </w:tc>
        <w:tc>
          <w:tcPr>
            <w:tcW w:w="1423" w:type="dxa"/>
            <w:tcBorders>
              <w:top w:val="single" w:color="auto" w:sz="4" w:space="0"/>
              <w:left w:val="nil"/>
              <w:bottom w:val="single" w:color="auto" w:sz="4" w:space="0"/>
              <w:right w:val="single" w:color="auto" w:sz="4" w:space="0"/>
            </w:tcBorders>
            <w:vAlign w:val="center"/>
          </w:tcPr>
          <w:p w14:paraId="24B0F7AB">
            <w:pPr>
              <w:spacing w:line="360" w:lineRule="auto"/>
              <w:jc w:val="center"/>
              <w:rPr>
                <w:rFonts w:ascii="仿宋" w:hAnsi="仿宋" w:eastAsia="仿宋" w:cs="Arial"/>
                <w:color w:val="auto"/>
                <w:highlight w:val="none"/>
              </w:rPr>
            </w:pPr>
          </w:p>
        </w:tc>
        <w:tc>
          <w:tcPr>
            <w:tcW w:w="1276" w:type="dxa"/>
            <w:tcBorders>
              <w:top w:val="single" w:color="auto" w:sz="4" w:space="0"/>
              <w:left w:val="nil"/>
              <w:bottom w:val="single" w:color="auto" w:sz="4" w:space="0"/>
              <w:right w:val="single" w:color="auto" w:sz="4" w:space="0"/>
            </w:tcBorders>
            <w:vAlign w:val="center"/>
          </w:tcPr>
          <w:p w14:paraId="78551CC8">
            <w:pPr>
              <w:spacing w:line="360" w:lineRule="auto"/>
              <w:jc w:val="center"/>
              <w:rPr>
                <w:rFonts w:ascii="仿宋" w:hAnsi="仿宋" w:eastAsia="仿宋" w:cs="Arial"/>
                <w:color w:val="auto"/>
                <w:highlight w:val="none"/>
              </w:rPr>
            </w:pPr>
          </w:p>
        </w:tc>
        <w:tc>
          <w:tcPr>
            <w:tcW w:w="1301" w:type="dxa"/>
            <w:tcBorders>
              <w:top w:val="single" w:color="auto" w:sz="4" w:space="0"/>
              <w:left w:val="nil"/>
              <w:bottom w:val="single" w:color="auto" w:sz="4" w:space="0"/>
              <w:right w:val="single" w:color="auto" w:sz="4" w:space="0"/>
            </w:tcBorders>
            <w:vAlign w:val="center"/>
          </w:tcPr>
          <w:p w14:paraId="4872F38C">
            <w:pPr>
              <w:spacing w:line="360" w:lineRule="auto"/>
              <w:jc w:val="center"/>
              <w:rPr>
                <w:rFonts w:ascii="仿宋" w:hAnsi="仿宋" w:eastAsia="仿宋" w:cs="Arial"/>
                <w:color w:val="auto"/>
                <w:highlight w:val="none"/>
              </w:rPr>
            </w:pPr>
          </w:p>
        </w:tc>
        <w:tc>
          <w:tcPr>
            <w:tcW w:w="1134" w:type="dxa"/>
            <w:tcBorders>
              <w:top w:val="single" w:color="auto" w:sz="4" w:space="0"/>
              <w:left w:val="nil"/>
              <w:bottom w:val="single" w:color="auto" w:sz="4" w:space="0"/>
              <w:right w:val="single" w:color="auto" w:sz="4" w:space="0"/>
            </w:tcBorders>
            <w:vAlign w:val="center"/>
          </w:tcPr>
          <w:p w14:paraId="04E99AE2">
            <w:pPr>
              <w:spacing w:line="360" w:lineRule="auto"/>
              <w:jc w:val="center"/>
              <w:rPr>
                <w:rFonts w:ascii="仿宋" w:hAnsi="仿宋" w:eastAsia="仿宋" w:cs="Arial"/>
                <w:color w:val="auto"/>
                <w:highlight w:val="none"/>
              </w:rPr>
            </w:pPr>
          </w:p>
        </w:tc>
        <w:tc>
          <w:tcPr>
            <w:tcW w:w="1680" w:type="dxa"/>
            <w:tcBorders>
              <w:top w:val="single" w:color="auto" w:sz="4" w:space="0"/>
              <w:left w:val="nil"/>
              <w:bottom w:val="single" w:color="auto" w:sz="4" w:space="0"/>
              <w:right w:val="single" w:color="auto" w:sz="4" w:space="0"/>
            </w:tcBorders>
          </w:tcPr>
          <w:p w14:paraId="04246BF8">
            <w:pPr>
              <w:spacing w:line="360" w:lineRule="auto"/>
              <w:jc w:val="center"/>
              <w:rPr>
                <w:rFonts w:ascii="仿宋" w:hAnsi="仿宋" w:eastAsia="仿宋" w:cs="Arial"/>
                <w:color w:val="auto"/>
                <w:highlight w:val="none"/>
              </w:rPr>
            </w:pPr>
          </w:p>
        </w:tc>
      </w:tr>
      <w:tr w14:paraId="79199863">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vAlign w:val="center"/>
          </w:tcPr>
          <w:p w14:paraId="7089875E">
            <w:pPr>
              <w:spacing w:line="360" w:lineRule="auto"/>
              <w:jc w:val="center"/>
              <w:rPr>
                <w:rFonts w:ascii="仿宋" w:hAnsi="仿宋" w:eastAsia="仿宋" w:cs="Arial"/>
                <w:color w:val="auto"/>
                <w:highlight w:val="none"/>
              </w:rPr>
            </w:pPr>
          </w:p>
        </w:tc>
        <w:tc>
          <w:tcPr>
            <w:tcW w:w="1695" w:type="dxa"/>
            <w:tcBorders>
              <w:top w:val="single" w:color="auto" w:sz="4" w:space="0"/>
              <w:left w:val="nil"/>
              <w:bottom w:val="single" w:color="auto" w:sz="4" w:space="0"/>
              <w:right w:val="single" w:color="auto" w:sz="4" w:space="0"/>
            </w:tcBorders>
            <w:vAlign w:val="center"/>
          </w:tcPr>
          <w:p w14:paraId="76225EC1">
            <w:pPr>
              <w:spacing w:line="360" w:lineRule="auto"/>
              <w:jc w:val="center"/>
              <w:rPr>
                <w:rFonts w:ascii="仿宋" w:hAnsi="仿宋" w:eastAsia="仿宋"/>
                <w:color w:val="auto"/>
                <w:highlight w:val="none"/>
              </w:rPr>
            </w:pPr>
            <w:r>
              <w:rPr>
                <w:rFonts w:hint="eastAsia" w:ascii="仿宋" w:hAnsi="仿宋" w:eastAsia="仿宋"/>
                <w:color w:val="auto"/>
                <w:highlight w:val="none"/>
              </w:rPr>
              <w:t>……</w:t>
            </w:r>
          </w:p>
        </w:tc>
        <w:tc>
          <w:tcPr>
            <w:tcW w:w="1423" w:type="dxa"/>
            <w:tcBorders>
              <w:top w:val="single" w:color="auto" w:sz="4" w:space="0"/>
              <w:left w:val="nil"/>
              <w:bottom w:val="single" w:color="auto" w:sz="4" w:space="0"/>
              <w:right w:val="single" w:color="auto" w:sz="4" w:space="0"/>
            </w:tcBorders>
            <w:vAlign w:val="center"/>
          </w:tcPr>
          <w:p w14:paraId="4604A079">
            <w:pPr>
              <w:spacing w:line="360" w:lineRule="auto"/>
              <w:jc w:val="center"/>
              <w:rPr>
                <w:rFonts w:ascii="仿宋" w:hAnsi="仿宋" w:eastAsia="仿宋" w:cs="Arial"/>
                <w:color w:val="auto"/>
                <w:highlight w:val="none"/>
              </w:rPr>
            </w:pPr>
          </w:p>
        </w:tc>
        <w:tc>
          <w:tcPr>
            <w:tcW w:w="1276" w:type="dxa"/>
            <w:tcBorders>
              <w:top w:val="single" w:color="auto" w:sz="4" w:space="0"/>
              <w:left w:val="nil"/>
              <w:bottom w:val="single" w:color="auto" w:sz="4" w:space="0"/>
              <w:right w:val="single" w:color="auto" w:sz="4" w:space="0"/>
            </w:tcBorders>
            <w:vAlign w:val="center"/>
          </w:tcPr>
          <w:p w14:paraId="645B68C3">
            <w:pPr>
              <w:spacing w:line="360" w:lineRule="auto"/>
              <w:jc w:val="center"/>
              <w:rPr>
                <w:rFonts w:ascii="仿宋" w:hAnsi="仿宋" w:eastAsia="仿宋" w:cs="Arial"/>
                <w:color w:val="auto"/>
                <w:highlight w:val="none"/>
              </w:rPr>
            </w:pPr>
          </w:p>
        </w:tc>
        <w:tc>
          <w:tcPr>
            <w:tcW w:w="1301" w:type="dxa"/>
            <w:tcBorders>
              <w:top w:val="single" w:color="auto" w:sz="4" w:space="0"/>
              <w:left w:val="nil"/>
              <w:bottom w:val="single" w:color="auto" w:sz="4" w:space="0"/>
              <w:right w:val="single" w:color="auto" w:sz="4" w:space="0"/>
            </w:tcBorders>
            <w:vAlign w:val="center"/>
          </w:tcPr>
          <w:p w14:paraId="23927E35">
            <w:pPr>
              <w:spacing w:line="360" w:lineRule="auto"/>
              <w:jc w:val="center"/>
              <w:rPr>
                <w:rFonts w:ascii="仿宋" w:hAnsi="仿宋" w:eastAsia="仿宋" w:cs="Arial"/>
                <w:color w:val="auto"/>
                <w:highlight w:val="none"/>
              </w:rPr>
            </w:pPr>
          </w:p>
        </w:tc>
        <w:tc>
          <w:tcPr>
            <w:tcW w:w="1134" w:type="dxa"/>
            <w:tcBorders>
              <w:top w:val="single" w:color="auto" w:sz="4" w:space="0"/>
              <w:left w:val="nil"/>
              <w:bottom w:val="single" w:color="auto" w:sz="4" w:space="0"/>
              <w:right w:val="single" w:color="auto" w:sz="4" w:space="0"/>
            </w:tcBorders>
            <w:vAlign w:val="center"/>
          </w:tcPr>
          <w:p w14:paraId="795B15FE">
            <w:pPr>
              <w:spacing w:line="360" w:lineRule="auto"/>
              <w:jc w:val="center"/>
              <w:rPr>
                <w:rFonts w:ascii="仿宋" w:hAnsi="仿宋" w:eastAsia="仿宋" w:cs="Arial"/>
                <w:color w:val="auto"/>
                <w:highlight w:val="none"/>
              </w:rPr>
            </w:pPr>
          </w:p>
        </w:tc>
        <w:tc>
          <w:tcPr>
            <w:tcW w:w="1680" w:type="dxa"/>
            <w:tcBorders>
              <w:top w:val="single" w:color="auto" w:sz="4" w:space="0"/>
              <w:left w:val="nil"/>
              <w:bottom w:val="single" w:color="auto" w:sz="4" w:space="0"/>
              <w:right w:val="single" w:color="auto" w:sz="4" w:space="0"/>
            </w:tcBorders>
          </w:tcPr>
          <w:p w14:paraId="0F443896">
            <w:pPr>
              <w:spacing w:line="360" w:lineRule="auto"/>
              <w:jc w:val="center"/>
              <w:rPr>
                <w:rFonts w:ascii="仿宋" w:hAnsi="仿宋" w:eastAsia="仿宋" w:cs="Arial"/>
                <w:color w:val="auto"/>
                <w:highlight w:val="none"/>
              </w:rPr>
            </w:pPr>
          </w:p>
        </w:tc>
      </w:tr>
    </w:tbl>
    <w:p w14:paraId="58648654">
      <w:pPr>
        <w:spacing w:line="360" w:lineRule="auto"/>
        <w:ind w:left="359" w:leftChars="171"/>
        <w:rPr>
          <w:rFonts w:ascii="仿宋" w:hAnsi="仿宋" w:eastAsia="仿宋"/>
          <w:color w:val="auto"/>
          <w:highlight w:val="none"/>
        </w:rPr>
      </w:pPr>
      <w:r>
        <w:rPr>
          <w:rFonts w:hint="eastAsia" w:ascii="仿宋" w:hAnsi="仿宋" w:eastAsia="仿宋"/>
          <w:color w:val="auto"/>
          <w:highlight w:val="none"/>
        </w:rPr>
        <w:t xml:space="preserve"> </w:t>
      </w:r>
    </w:p>
    <w:p w14:paraId="6CA87619">
      <w:pPr>
        <w:spacing w:line="360" w:lineRule="auto"/>
        <w:ind w:left="359" w:leftChars="171"/>
        <w:rPr>
          <w:rFonts w:ascii="仿宋" w:hAnsi="仿宋" w:eastAsia="仿宋"/>
          <w:color w:val="auto"/>
          <w:highlight w:val="none"/>
        </w:rPr>
      </w:pPr>
    </w:p>
    <w:p w14:paraId="0F968344">
      <w:pPr>
        <w:spacing w:line="360" w:lineRule="auto"/>
        <w:ind w:left="359" w:leftChars="171"/>
        <w:rPr>
          <w:rFonts w:ascii="仿宋" w:hAnsi="仿宋" w:eastAsia="仿宋" w:cs="Arial"/>
          <w:color w:val="auto"/>
          <w:highlight w:val="none"/>
        </w:rPr>
      </w:pPr>
      <w:r>
        <w:rPr>
          <w:rFonts w:hint="eastAsia" w:ascii="仿宋" w:hAnsi="仿宋" w:eastAsia="仿宋"/>
          <w:color w:val="auto"/>
          <w:highlight w:val="none"/>
        </w:rPr>
        <w:t xml:space="preserve">  </w:t>
      </w:r>
    </w:p>
    <w:p w14:paraId="66E01DCE">
      <w:pPr>
        <w:spacing w:line="360" w:lineRule="auto"/>
        <w:rPr>
          <w:rFonts w:ascii="仿宋" w:hAnsi="仿宋" w:eastAsia="仿宋"/>
          <w:color w:val="auto"/>
          <w:sz w:val="24"/>
          <w:highlight w:val="none"/>
        </w:rPr>
      </w:pPr>
      <w:r>
        <w:rPr>
          <w:rFonts w:hint="eastAsia" w:ascii="仿宋" w:hAnsi="仿宋" w:eastAsia="仿宋"/>
          <w:color w:val="auto"/>
          <w:sz w:val="24"/>
          <w:highlight w:val="none"/>
        </w:rPr>
        <w:t>供应商名称：XXX（盖单位公章）</w:t>
      </w:r>
    </w:p>
    <w:p w14:paraId="00F7794C">
      <w:pPr>
        <w:spacing w:line="360" w:lineRule="auto"/>
        <w:rPr>
          <w:rFonts w:ascii="仿宋" w:hAnsi="仿宋" w:eastAsia="仿宋"/>
          <w:color w:val="auto"/>
          <w:sz w:val="24"/>
          <w:highlight w:val="none"/>
        </w:rPr>
      </w:pPr>
      <w:r>
        <w:rPr>
          <w:rFonts w:hint="eastAsia" w:ascii="仿宋" w:hAnsi="仿宋" w:eastAsia="仿宋"/>
          <w:color w:val="auto"/>
          <w:sz w:val="24"/>
          <w:highlight w:val="none"/>
        </w:rPr>
        <w:t>法定代表人/单位负责人或授权代表（签字或加盖个人印章）：XXX</w:t>
      </w:r>
    </w:p>
    <w:p w14:paraId="3E6F9A8A">
      <w:pPr>
        <w:spacing w:line="360" w:lineRule="auto"/>
        <w:rPr>
          <w:rFonts w:ascii="仿宋" w:hAnsi="仿宋" w:eastAsia="仿宋"/>
          <w:color w:val="auto"/>
          <w:sz w:val="24"/>
          <w:highlight w:val="none"/>
        </w:rPr>
      </w:pPr>
      <w:r>
        <w:rPr>
          <w:rFonts w:hint="eastAsia" w:ascii="仿宋" w:hAnsi="仿宋" w:eastAsia="仿宋"/>
          <w:color w:val="auto"/>
          <w:sz w:val="24"/>
          <w:highlight w:val="none"/>
        </w:rPr>
        <w:t>日      期：XXX</w:t>
      </w:r>
    </w:p>
    <w:p w14:paraId="2B7FC55D">
      <w:pPr>
        <w:spacing w:line="360" w:lineRule="auto"/>
        <w:rPr>
          <w:rFonts w:ascii="仿宋" w:hAnsi="仿宋" w:eastAsia="仿宋"/>
          <w:color w:val="auto"/>
          <w:highlight w:val="none"/>
        </w:rPr>
      </w:pPr>
      <w:r>
        <w:rPr>
          <w:rFonts w:hint="eastAsia" w:ascii="仿宋" w:hAnsi="仿宋" w:eastAsia="仿宋"/>
          <w:color w:val="auto"/>
          <w:highlight w:val="none"/>
        </w:rPr>
        <w:br w:type="page"/>
      </w:r>
    </w:p>
    <w:p w14:paraId="23E0DA73">
      <w:pPr>
        <w:spacing w:line="360" w:lineRule="auto"/>
        <w:jc w:val="center"/>
        <w:rPr>
          <w:rFonts w:ascii="仿宋" w:hAnsi="仿宋" w:eastAsia="仿宋"/>
          <w:color w:val="auto"/>
          <w:highlight w:val="none"/>
        </w:rPr>
      </w:pPr>
    </w:p>
    <w:p w14:paraId="5D3F5EC4">
      <w:pPr>
        <w:spacing w:line="360" w:lineRule="auto"/>
        <w:jc w:val="center"/>
        <w:rPr>
          <w:rFonts w:ascii="仿宋" w:hAnsi="仿宋" w:eastAsia="仿宋"/>
          <w:b/>
          <w:bCs/>
          <w:color w:val="auto"/>
          <w:sz w:val="24"/>
          <w:highlight w:val="none"/>
        </w:rPr>
      </w:pPr>
      <w:r>
        <w:rPr>
          <w:rFonts w:hint="eastAsia" w:ascii="仿宋" w:hAnsi="仿宋" w:eastAsia="仿宋"/>
          <w:b/>
          <w:bCs/>
          <w:color w:val="auto"/>
          <w:sz w:val="24"/>
          <w:highlight w:val="none"/>
        </w:rPr>
        <w:t>(二)主要人员简历表</w:t>
      </w:r>
    </w:p>
    <w:p w14:paraId="3E1F348F">
      <w:pPr>
        <w:spacing w:line="360" w:lineRule="auto"/>
        <w:rPr>
          <w:rFonts w:ascii="仿宋" w:hAnsi="仿宋" w:eastAsia="仿宋"/>
          <w:color w:val="auto"/>
          <w:highlight w:val="none"/>
        </w:rPr>
      </w:pPr>
      <w:r>
        <w:rPr>
          <w:rFonts w:hint="eastAsia" w:ascii="仿宋" w:hAnsi="仿宋" w:eastAsia="仿宋"/>
          <w:color w:val="auto"/>
          <w:highlight w:val="none"/>
        </w:rPr>
        <w:t xml:space="preserve"> </w:t>
      </w:r>
    </w:p>
    <w:tbl>
      <w:tblPr>
        <w:tblStyle w:val="41"/>
        <w:tblW w:w="4998" w:type="pct"/>
        <w:tblInd w:w="0" w:type="dxa"/>
        <w:tblLayout w:type="autofit"/>
        <w:tblCellMar>
          <w:top w:w="0" w:type="dxa"/>
          <w:left w:w="0" w:type="dxa"/>
          <w:bottom w:w="0" w:type="dxa"/>
          <w:right w:w="0" w:type="dxa"/>
        </w:tblCellMar>
      </w:tblPr>
      <w:tblGrid>
        <w:gridCol w:w="1409"/>
        <w:gridCol w:w="23"/>
        <w:gridCol w:w="1071"/>
        <w:gridCol w:w="1002"/>
        <w:gridCol w:w="1131"/>
        <w:gridCol w:w="1629"/>
        <w:gridCol w:w="2054"/>
      </w:tblGrid>
      <w:tr w14:paraId="23D2E71E">
        <w:tblPrEx>
          <w:tblCellMar>
            <w:top w:w="0" w:type="dxa"/>
            <w:left w:w="0" w:type="dxa"/>
            <w:bottom w:w="0" w:type="dxa"/>
            <w:right w:w="0" w:type="dxa"/>
          </w:tblCellMar>
        </w:tblPrEx>
        <w:trPr>
          <w:trHeight w:val="463" w:hRule="atLeast"/>
        </w:trPr>
        <w:tc>
          <w:tcPr>
            <w:tcW w:w="847" w:type="pct"/>
            <w:tcBorders>
              <w:top w:val="single" w:color="auto" w:sz="4" w:space="0"/>
              <w:left w:val="single" w:color="auto" w:sz="4" w:space="0"/>
              <w:bottom w:val="single" w:color="auto" w:sz="4" w:space="0"/>
              <w:right w:val="single" w:color="auto" w:sz="4" w:space="0"/>
            </w:tcBorders>
            <w:vAlign w:val="center"/>
          </w:tcPr>
          <w:p w14:paraId="4C55AB73">
            <w:pPr>
              <w:spacing w:line="360" w:lineRule="auto"/>
              <w:jc w:val="center"/>
              <w:rPr>
                <w:rFonts w:ascii="仿宋" w:hAnsi="仿宋" w:eastAsia="仿宋" w:cs="Arial"/>
                <w:color w:val="auto"/>
                <w:highlight w:val="none"/>
              </w:rPr>
            </w:pPr>
            <w:r>
              <w:rPr>
                <w:rFonts w:hint="eastAsia" w:ascii="仿宋" w:hAnsi="仿宋" w:eastAsia="仿宋"/>
                <w:color w:val="auto"/>
                <w:highlight w:val="none"/>
              </w:rPr>
              <w:t>姓名</w:t>
            </w:r>
          </w:p>
        </w:tc>
        <w:tc>
          <w:tcPr>
            <w:tcW w:w="658" w:type="pct"/>
            <w:gridSpan w:val="2"/>
            <w:tcBorders>
              <w:top w:val="single" w:color="auto" w:sz="4" w:space="0"/>
              <w:left w:val="nil"/>
              <w:bottom w:val="single" w:color="auto" w:sz="4" w:space="0"/>
              <w:right w:val="single" w:color="auto" w:sz="4" w:space="0"/>
            </w:tcBorders>
          </w:tcPr>
          <w:p w14:paraId="0B71FC55">
            <w:pPr>
              <w:spacing w:line="360" w:lineRule="auto"/>
              <w:jc w:val="center"/>
              <w:rPr>
                <w:rFonts w:ascii="仿宋" w:hAnsi="仿宋" w:eastAsia="仿宋" w:cs="Arial"/>
                <w:color w:val="auto"/>
                <w:highlight w:val="none"/>
              </w:rPr>
            </w:pPr>
          </w:p>
        </w:tc>
        <w:tc>
          <w:tcPr>
            <w:tcW w:w="602" w:type="pct"/>
            <w:tcBorders>
              <w:top w:val="single" w:color="auto" w:sz="4" w:space="0"/>
              <w:left w:val="nil"/>
              <w:bottom w:val="single" w:color="auto" w:sz="4" w:space="0"/>
              <w:right w:val="single" w:color="auto" w:sz="4" w:space="0"/>
            </w:tcBorders>
            <w:vAlign w:val="center"/>
          </w:tcPr>
          <w:p w14:paraId="30FD7812">
            <w:pPr>
              <w:spacing w:line="360" w:lineRule="auto"/>
              <w:jc w:val="center"/>
              <w:rPr>
                <w:rFonts w:ascii="仿宋" w:hAnsi="仿宋" w:eastAsia="仿宋" w:cs="Arial"/>
                <w:color w:val="auto"/>
                <w:highlight w:val="none"/>
              </w:rPr>
            </w:pPr>
            <w:r>
              <w:rPr>
                <w:rFonts w:hint="eastAsia" w:ascii="仿宋" w:hAnsi="仿宋" w:eastAsia="仿宋"/>
                <w:color w:val="auto"/>
                <w:highlight w:val="none"/>
              </w:rPr>
              <w:t>年龄</w:t>
            </w:r>
          </w:p>
        </w:tc>
        <w:tc>
          <w:tcPr>
            <w:tcW w:w="2890" w:type="pct"/>
            <w:gridSpan w:val="3"/>
            <w:tcBorders>
              <w:top w:val="single" w:color="auto" w:sz="4" w:space="0"/>
              <w:left w:val="nil"/>
              <w:bottom w:val="single" w:color="auto" w:sz="4" w:space="0"/>
              <w:right w:val="single" w:color="auto" w:sz="4" w:space="0"/>
            </w:tcBorders>
          </w:tcPr>
          <w:p w14:paraId="7EE8C1F4">
            <w:pPr>
              <w:spacing w:line="360" w:lineRule="auto"/>
              <w:jc w:val="center"/>
              <w:rPr>
                <w:rFonts w:ascii="仿宋" w:hAnsi="仿宋" w:eastAsia="仿宋" w:cs="Arial"/>
                <w:color w:val="auto"/>
                <w:highlight w:val="none"/>
              </w:rPr>
            </w:pPr>
          </w:p>
        </w:tc>
      </w:tr>
      <w:tr w14:paraId="25EB4E2D">
        <w:tblPrEx>
          <w:tblCellMar>
            <w:top w:w="0" w:type="dxa"/>
            <w:left w:w="0" w:type="dxa"/>
            <w:bottom w:w="0" w:type="dxa"/>
            <w:right w:w="0" w:type="dxa"/>
          </w:tblCellMar>
        </w:tblPrEx>
        <w:trPr>
          <w:trHeight w:val="451" w:hRule="atLeast"/>
        </w:trPr>
        <w:tc>
          <w:tcPr>
            <w:tcW w:w="847" w:type="pct"/>
            <w:tcBorders>
              <w:top w:val="single" w:color="auto" w:sz="4" w:space="0"/>
              <w:left w:val="single" w:color="auto" w:sz="4" w:space="0"/>
              <w:bottom w:val="single" w:color="auto" w:sz="4" w:space="0"/>
              <w:right w:val="single" w:color="auto" w:sz="4" w:space="0"/>
            </w:tcBorders>
            <w:vAlign w:val="center"/>
          </w:tcPr>
          <w:p w14:paraId="0385B78F">
            <w:pPr>
              <w:spacing w:line="360" w:lineRule="auto"/>
              <w:jc w:val="center"/>
              <w:rPr>
                <w:rFonts w:ascii="仿宋" w:hAnsi="仿宋" w:eastAsia="仿宋" w:cs="Arial"/>
                <w:color w:val="auto"/>
                <w:highlight w:val="none"/>
              </w:rPr>
            </w:pPr>
            <w:r>
              <w:rPr>
                <w:rFonts w:hint="eastAsia" w:ascii="仿宋" w:hAnsi="仿宋" w:eastAsia="仿宋"/>
                <w:color w:val="auto"/>
                <w:highlight w:val="none"/>
              </w:rPr>
              <w:t>职称</w:t>
            </w:r>
          </w:p>
        </w:tc>
        <w:tc>
          <w:tcPr>
            <w:tcW w:w="658" w:type="pct"/>
            <w:gridSpan w:val="2"/>
            <w:tcBorders>
              <w:top w:val="single" w:color="auto" w:sz="4" w:space="0"/>
              <w:left w:val="nil"/>
              <w:bottom w:val="single" w:color="auto" w:sz="4" w:space="0"/>
              <w:right w:val="single" w:color="auto" w:sz="4" w:space="0"/>
            </w:tcBorders>
          </w:tcPr>
          <w:p w14:paraId="6A62DAFA">
            <w:pPr>
              <w:spacing w:line="360" w:lineRule="auto"/>
              <w:jc w:val="center"/>
              <w:rPr>
                <w:rFonts w:ascii="仿宋" w:hAnsi="仿宋" w:eastAsia="仿宋" w:cs="Arial"/>
                <w:color w:val="auto"/>
                <w:highlight w:val="none"/>
              </w:rPr>
            </w:pPr>
          </w:p>
        </w:tc>
        <w:tc>
          <w:tcPr>
            <w:tcW w:w="602" w:type="pct"/>
            <w:tcBorders>
              <w:top w:val="single" w:color="auto" w:sz="4" w:space="0"/>
              <w:left w:val="nil"/>
              <w:bottom w:val="single" w:color="auto" w:sz="4" w:space="0"/>
              <w:right w:val="single" w:color="auto" w:sz="4" w:space="0"/>
            </w:tcBorders>
            <w:vAlign w:val="center"/>
          </w:tcPr>
          <w:p w14:paraId="6337E505">
            <w:pPr>
              <w:spacing w:line="360" w:lineRule="auto"/>
              <w:jc w:val="center"/>
              <w:rPr>
                <w:rFonts w:ascii="仿宋" w:hAnsi="仿宋" w:eastAsia="仿宋" w:cs="Arial"/>
                <w:color w:val="auto"/>
                <w:highlight w:val="none"/>
              </w:rPr>
            </w:pPr>
            <w:r>
              <w:rPr>
                <w:rFonts w:hint="eastAsia" w:ascii="仿宋" w:hAnsi="仿宋" w:eastAsia="仿宋"/>
                <w:color w:val="auto"/>
                <w:highlight w:val="none"/>
              </w:rPr>
              <w:t>职务</w:t>
            </w:r>
          </w:p>
        </w:tc>
        <w:tc>
          <w:tcPr>
            <w:tcW w:w="678" w:type="pct"/>
            <w:tcBorders>
              <w:top w:val="single" w:color="auto" w:sz="4" w:space="0"/>
              <w:left w:val="nil"/>
              <w:bottom w:val="single" w:color="auto" w:sz="4" w:space="0"/>
              <w:right w:val="single" w:color="auto" w:sz="4" w:space="0"/>
            </w:tcBorders>
          </w:tcPr>
          <w:p w14:paraId="6AA05062">
            <w:pPr>
              <w:spacing w:line="360" w:lineRule="auto"/>
              <w:jc w:val="center"/>
              <w:rPr>
                <w:rFonts w:ascii="仿宋" w:hAnsi="仿宋" w:eastAsia="仿宋" w:cs="Arial"/>
                <w:color w:val="auto"/>
                <w:highlight w:val="none"/>
              </w:rPr>
            </w:pPr>
          </w:p>
        </w:tc>
        <w:tc>
          <w:tcPr>
            <w:tcW w:w="979" w:type="pct"/>
            <w:tcBorders>
              <w:top w:val="single" w:color="auto" w:sz="4" w:space="0"/>
              <w:left w:val="nil"/>
              <w:bottom w:val="single" w:color="auto" w:sz="4" w:space="0"/>
              <w:right w:val="single" w:color="auto" w:sz="4" w:space="0"/>
            </w:tcBorders>
            <w:vAlign w:val="center"/>
          </w:tcPr>
          <w:p w14:paraId="4DB6F4CB">
            <w:pPr>
              <w:spacing w:line="360" w:lineRule="auto"/>
              <w:jc w:val="center"/>
              <w:rPr>
                <w:rFonts w:ascii="仿宋" w:hAnsi="仿宋" w:eastAsia="仿宋" w:cs="Arial"/>
                <w:color w:val="auto"/>
                <w:highlight w:val="none"/>
              </w:rPr>
            </w:pPr>
            <w:r>
              <w:rPr>
                <w:rFonts w:hint="eastAsia" w:ascii="仿宋" w:hAnsi="仿宋" w:eastAsia="仿宋"/>
                <w:color w:val="auto"/>
                <w:highlight w:val="none"/>
              </w:rPr>
              <w:t>拟在本合同任职</w:t>
            </w:r>
          </w:p>
        </w:tc>
        <w:tc>
          <w:tcPr>
            <w:tcW w:w="1232" w:type="pct"/>
            <w:tcBorders>
              <w:top w:val="single" w:color="auto" w:sz="4" w:space="0"/>
              <w:left w:val="nil"/>
              <w:bottom w:val="single" w:color="auto" w:sz="4" w:space="0"/>
              <w:right w:val="single" w:color="auto" w:sz="4" w:space="0"/>
            </w:tcBorders>
          </w:tcPr>
          <w:p w14:paraId="7D7780D5">
            <w:pPr>
              <w:spacing w:line="360" w:lineRule="auto"/>
              <w:jc w:val="center"/>
              <w:rPr>
                <w:rFonts w:ascii="仿宋" w:hAnsi="仿宋" w:eastAsia="仿宋" w:cs="Arial"/>
                <w:color w:val="auto"/>
                <w:highlight w:val="none"/>
              </w:rPr>
            </w:pPr>
          </w:p>
        </w:tc>
      </w:tr>
      <w:tr w14:paraId="05DC32C4">
        <w:tblPrEx>
          <w:tblCellMar>
            <w:top w:w="0" w:type="dxa"/>
            <w:left w:w="0" w:type="dxa"/>
            <w:bottom w:w="0" w:type="dxa"/>
            <w:right w:w="0" w:type="dxa"/>
          </w:tblCellMar>
        </w:tblPrEx>
        <w:trPr>
          <w:trHeight w:val="613"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069B0413">
            <w:pPr>
              <w:spacing w:line="360" w:lineRule="auto"/>
              <w:ind w:firstLine="4200" w:firstLineChars="2000"/>
              <w:rPr>
                <w:rFonts w:ascii="仿宋" w:hAnsi="仿宋" w:eastAsia="仿宋" w:cs="Arial"/>
                <w:color w:val="auto"/>
                <w:highlight w:val="none"/>
              </w:rPr>
            </w:pPr>
            <w:r>
              <w:rPr>
                <w:rFonts w:hint="eastAsia" w:ascii="仿宋" w:hAnsi="仿宋" w:eastAsia="仿宋"/>
                <w:color w:val="auto"/>
                <w:highlight w:val="none"/>
              </w:rPr>
              <w:t>主要工作经历</w:t>
            </w:r>
          </w:p>
        </w:tc>
      </w:tr>
      <w:tr w14:paraId="2F3DA9E7">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355EB49C">
            <w:pPr>
              <w:spacing w:line="360" w:lineRule="auto"/>
              <w:jc w:val="center"/>
              <w:rPr>
                <w:rFonts w:ascii="仿宋" w:hAnsi="仿宋" w:eastAsia="仿宋" w:cs="Arial"/>
                <w:color w:val="auto"/>
                <w:highlight w:val="none"/>
              </w:rPr>
            </w:pPr>
            <w:r>
              <w:rPr>
                <w:rFonts w:hint="eastAsia" w:ascii="仿宋" w:hAnsi="仿宋" w:eastAsia="仿宋"/>
                <w:color w:val="auto"/>
                <w:highlight w:val="none"/>
              </w:rPr>
              <w:t>时间</w:t>
            </w:r>
          </w:p>
        </w:tc>
        <w:tc>
          <w:tcPr>
            <w:tcW w:w="1926" w:type="pct"/>
            <w:gridSpan w:val="3"/>
            <w:tcBorders>
              <w:top w:val="single" w:color="auto" w:sz="4" w:space="0"/>
              <w:left w:val="nil"/>
              <w:bottom w:val="single" w:color="auto" w:sz="4" w:space="0"/>
              <w:right w:val="single" w:color="auto" w:sz="4" w:space="0"/>
            </w:tcBorders>
            <w:vAlign w:val="center"/>
          </w:tcPr>
          <w:p w14:paraId="12A695A8">
            <w:pPr>
              <w:spacing w:line="360" w:lineRule="auto"/>
              <w:jc w:val="center"/>
              <w:rPr>
                <w:rFonts w:ascii="仿宋" w:hAnsi="仿宋" w:eastAsia="仿宋" w:cs="Arial"/>
                <w:color w:val="auto"/>
                <w:highlight w:val="none"/>
              </w:rPr>
            </w:pPr>
            <w:r>
              <w:rPr>
                <w:rFonts w:hint="eastAsia" w:ascii="仿宋" w:hAnsi="仿宋" w:eastAsia="仿宋"/>
                <w:color w:val="auto"/>
                <w:highlight w:val="none"/>
              </w:rPr>
              <w:t>项目名称</w:t>
            </w:r>
          </w:p>
        </w:tc>
        <w:tc>
          <w:tcPr>
            <w:tcW w:w="979" w:type="pct"/>
            <w:tcBorders>
              <w:top w:val="single" w:color="auto" w:sz="4" w:space="0"/>
              <w:left w:val="nil"/>
              <w:bottom w:val="single" w:color="auto" w:sz="4" w:space="0"/>
              <w:right w:val="single" w:color="auto" w:sz="4" w:space="0"/>
            </w:tcBorders>
            <w:vAlign w:val="center"/>
          </w:tcPr>
          <w:p w14:paraId="24D5B3E2">
            <w:pPr>
              <w:spacing w:line="360" w:lineRule="auto"/>
              <w:jc w:val="center"/>
              <w:rPr>
                <w:rFonts w:ascii="仿宋" w:hAnsi="仿宋" w:eastAsia="仿宋" w:cs="Arial"/>
                <w:color w:val="auto"/>
                <w:highlight w:val="none"/>
              </w:rPr>
            </w:pPr>
            <w:r>
              <w:rPr>
                <w:rFonts w:hint="eastAsia" w:ascii="仿宋" w:hAnsi="仿宋" w:eastAsia="仿宋"/>
                <w:color w:val="auto"/>
                <w:highlight w:val="none"/>
              </w:rPr>
              <w:t>担任职务</w:t>
            </w:r>
          </w:p>
        </w:tc>
        <w:tc>
          <w:tcPr>
            <w:tcW w:w="1232" w:type="pct"/>
            <w:tcBorders>
              <w:top w:val="single" w:color="auto" w:sz="4" w:space="0"/>
              <w:left w:val="nil"/>
              <w:bottom w:val="single" w:color="auto" w:sz="4" w:space="0"/>
              <w:right w:val="single" w:color="auto" w:sz="4" w:space="0"/>
            </w:tcBorders>
            <w:vAlign w:val="center"/>
          </w:tcPr>
          <w:p w14:paraId="0BF175D5">
            <w:pPr>
              <w:spacing w:line="360" w:lineRule="auto"/>
              <w:jc w:val="center"/>
              <w:rPr>
                <w:rFonts w:ascii="仿宋" w:hAnsi="仿宋" w:eastAsia="仿宋" w:cs="Arial"/>
                <w:color w:val="auto"/>
                <w:highlight w:val="none"/>
              </w:rPr>
            </w:pPr>
            <w:r>
              <w:rPr>
                <w:rFonts w:hint="eastAsia" w:ascii="仿宋" w:hAnsi="仿宋" w:eastAsia="仿宋"/>
                <w:color w:val="auto"/>
                <w:highlight w:val="none"/>
              </w:rPr>
              <w:t>发包人</w:t>
            </w:r>
          </w:p>
        </w:tc>
      </w:tr>
      <w:tr w14:paraId="43AA5EE5">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0597C1F3">
            <w:pPr>
              <w:spacing w:line="360" w:lineRule="auto"/>
              <w:jc w:val="center"/>
              <w:rPr>
                <w:rFonts w:ascii="仿宋" w:hAnsi="仿宋" w:eastAsia="仿宋" w:cs="Arial"/>
                <w:color w:val="auto"/>
                <w:highlight w:val="none"/>
              </w:rPr>
            </w:pPr>
          </w:p>
        </w:tc>
        <w:tc>
          <w:tcPr>
            <w:tcW w:w="1926" w:type="pct"/>
            <w:gridSpan w:val="3"/>
            <w:tcBorders>
              <w:top w:val="single" w:color="auto" w:sz="4" w:space="0"/>
              <w:left w:val="nil"/>
              <w:bottom w:val="single" w:color="auto" w:sz="4" w:space="0"/>
              <w:right w:val="single" w:color="auto" w:sz="4" w:space="0"/>
            </w:tcBorders>
            <w:vAlign w:val="center"/>
          </w:tcPr>
          <w:p w14:paraId="38D428E4">
            <w:pPr>
              <w:spacing w:line="360" w:lineRule="auto"/>
              <w:jc w:val="center"/>
              <w:rPr>
                <w:rFonts w:ascii="仿宋" w:hAnsi="仿宋" w:eastAsia="仿宋" w:cs="Arial"/>
                <w:color w:val="auto"/>
                <w:highlight w:val="none"/>
              </w:rPr>
            </w:pPr>
          </w:p>
        </w:tc>
        <w:tc>
          <w:tcPr>
            <w:tcW w:w="979" w:type="pct"/>
            <w:tcBorders>
              <w:top w:val="single" w:color="auto" w:sz="4" w:space="0"/>
              <w:left w:val="nil"/>
              <w:bottom w:val="single" w:color="auto" w:sz="4" w:space="0"/>
              <w:right w:val="single" w:color="auto" w:sz="4" w:space="0"/>
            </w:tcBorders>
            <w:vAlign w:val="center"/>
          </w:tcPr>
          <w:p w14:paraId="74069F61">
            <w:pPr>
              <w:spacing w:line="360" w:lineRule="auto"/>
              <w:jc w:val="center"/>
              <w:rPr>
                <w:rFonts w:ascii="仿宋" w:hAnsi="仿宋" w:eastAsia="仿宋" w:cs="Arial"/>
                <w:color w:val="auto"/>
                <w:highlight w:val="none"/>
              </w:rPr>
            </w:pPr>
          </w:p>
        </w:tc>
        <w:tc>
          <w:tcPr>
            <w:tcW w:w="1232" w:type="pct"/>
            <w:tcBorders>
              <w:top w:val="single" w:color="auto" w:sz="4" w:space="0"/>
              <w:left w:val="nil"/>
              <w:bottom w:val="single" w:color="auto" w:sz="4" w:space="0"/>
              <w:right w:val="single" w:color="auto" w:sz="4" w:space="0"/>
            </w:tcBorders>
            <w:vAlign w:val="center"/>
          </w:tcPr>
          <w:p w14:paraId="49D8B548">
            <w:pPr>
              <w:spacing w:line="360" w:lineRule="auto"/>
              <w:jc w:val="center"/>
              <w:rPr>
                <w:rFonts w:ascii="仿宋" w:hAnsi="仿宋" w:eastAsia="仿宋" w:cs="Arial"/>
                <w:color w:val="auto"/>
                <w:highlight w:val="none"/>
              </w:rPr>
            </w:pPr>
          </w:p>
        </w:tc>
      </w:tr>
      <w:tr w14:paraId="11A9F4DE">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63C2DD00">
            <w:pPr>
              <w:spacing w:line="360" w:lineRule="auto"/>
              <w:jc w:val="center"/>
              <w:rPr>
                <w:rFonts w:ascii="仿宋" w:hAnsi="仿宋" w:eastAsia="仿宋" w:cs="Arial"/>
                <w:color w:val="auto"/>
                <w:highlight w:val="none"/>
              </w:rPr>
            </w:pPr>
          </w:p>
        </w:tc>
        <w:tc>
          <w:tcPr>
            <w:tcW w:w="1926" w:type="pct"/>
            <w:gridSpan w:val="3"/>
            <w:tcBorders>
              <w:top w:val="single" w:color="auto" w:sz="4" w:space="0"/>
              <w:left w:val="nil"/>
              <w:bottom w:val="single" w:color="auto" w:sz="4" w:space="0"/>
              <w:right w:val="single" w:color="auto" w:sz="4" w:space="0"/>
            </w:tcBorders>
            <w:vAlign w:val="center"/>
          </w:tcPr>
          <w:p w14:paraId="37B9BB32">
            <w:pPr>
              <w:spacing w:line="360" w:lineRule="auto"/>
              <w:jc w:val="center"/>
              <w:rPr>
                <w:rFonts w:ascii="仿宋" w:hAnsi="仿宋" w:eastAsia="仿宋" w:cs="Arial"/>
                <w:color w:val="auto"/>
                <w:highlight w:val="none"/>
              </w:rPr>
            </w:pPr>
          </w:p>
        </w:tc>
        <w:tc>
          <w:tcPr>
            <w:tcW w:w="979" w:type="pct"/>
            <w:tcBorders>
              <w:top w:val="single" w:color="auto" w:sz="4" w:space="0"/>
              <w:left w:val="nil"/>
              <w:bottom w:val="single" w:color="auto" w:sz="4" w:space="0"/>
              <w:right w:val="single" w:color="auto" w:sz="4" w:space="0"/>
            </w:tcBorders>
            <w:vAlign w:val="center"/>
          </w:tcPr>
          <w:p w14:paraId="5350D5D7">
            <w:pPr>
              <w:spacing w:line="360" w:lineRule="auto"/>
              <w:jc w:val="center"/>
              <w:rPr>
                <w:rFonts w:ascii="仿宋" w:hAnsi="仿宋" w:eastAsia="仿宋" w:cs="Arial"/>
                <w:color w:val="auto"/>
                <w:highlight w:val="none"/>
              </w:rPr>
            </w:pPr>
          </w:p>
        </w:tc>
        <w:tc>
          <w:tcPr>
            <w:tcW w:w="1232" w:type="pct"/>
            <w:tcBorders>
              <w:top w:val="single" w:color="auto" w:sz="4" w:space="0"/>
              <w:left w:val="nil"/>
              <w:bottom w:val="single" w:color="auto" w:sz="4" w:space="0"/>
              <w:right w:val="single" w:color="auto" w:sz="4" w:space="0"/>
            </w:tcBorders>
            <w:vAlign w:val="center"/>
          </w:tcPr>
          <w:p w14:paraId="6746F914">
            <w:pPr>
              <w:spacing w:line="360" w:lineRule="auto"/>
              <w:jc w:val="center"/>
              <w:rPr>
                <w:rFonts w:ascii="仿宋" w:hAnsi="仿宋" w:eastAsia="仿宋" w:cs="Arial"/>
                <w:color w:val="auto"/>
                <w:highlight w:val="none"/>
              </w:rPr>
            </w:pPr>
          </w:p>
        </w:tc>
      </w:tr>
      <w:tr w14:paraId="29D02BEB">
        <w:tblPrEx>
          <w:tblCellMar>
            <w:top w:w="0" w:type="dxa"/>
            <w:left w:w="0" w:type="dxa"/>
            <w:bottom w:w="0" w:type="dxa"/>
            <w:right w:w="0" w:type="dxa"/>
          </w:tblCellMar>
        </w:tblPrEx>
        <w:trPr>
          <w:trHeight w:val="613" w:hRule="atLeast"/>
        </w:trPr>
        <w:tc>
          <w:tcPr>
            <w:tcW w:w="861" w:type="pct"/>
            <w:gridSpan w:val="2"/>
            <w:tcBorders>
              <w:top w:val="single" w:color="auto" w:sz="4" w:space="0"/>
              <w:left w:val="single" w:color="auto" w:sz="4" w:space="0"/>
              <w:bottom w:val="single" w:color="auto" w:sz="4" w:space="0"/>
              <w:right w:val="single" w:color="auto" w:sz="4" w:space="0"/>
            </w:tcBorders>
            <w:vAlign w:val="center"/>
          </w:tcPr>
          <w:p w14:paraId="4FFFA9C5">
            <w:pPr>
              <w:spacing w:line="360" w:lineRule="auto"/>
              <w:jc w:val="center"/>
              <w:rPr>
                <w:rFonts w:ascii="仿宋" w:hAnsi="仿宋" w:eastAsia="仿宋" w:cs="Arial"/>
                <w:color w:val="auto"/>
                <w:highlight w:val="none"/>
              </w:rPr>
            </w:pPr>
          </w:p>
        </w:tc>
        <w:tc>
          <w:tcPr>
            <w:tcW w:w="1926" w:type="pct"/>
            <w:gridSpan w:val="3"/>
            <w:tcBorders>
              <w:top w:val="single" w:color="auto" w:sz="4" w:space="0"/>
              <w:left w:val="nil"/>
              <w:bottom w:val="single" w:color="auto" w:sz="4" w:space="0"/>
              <w:right w:val="single" w:color="auto" w:sz="4" w:space="0"/>
            </w:tcBorders>
            <w:vAlign w:val="center"/>
          </w:tcPr>
          <w:p w14:paraId="3EE4B6B8">
            <w:pPr>
              <w:spacing w:line="360" w:lineRule="auto"/>
              <w:jc w:val="center"/>
              <w:rPr>
                <w:rFonts w:ascii="仿宋" w:hAnsi="仿宋" w:eastAsia="仿宋" w:cs="Arial"/>
                <w:color w:val="auto"/>
                <w:highlight w:val="none"/>
              </w:rPr>
            </w:pPr>
          </w:p>
        </w:tc>
        <w:tc>
          <w:tcPr>
            <w:tcW w:w="979" w:type="pct"/>
            <w:tcBorders>
              <w:top w:val="single" w:color="auto" w:sz="4" w:space="0"/>
              <w:left w:val="nil"/>
              <w:bottom w:val="single" w:color="auto" w:sz="4" w:space="0"/>
              <w:right w:val="single" w:color="auto" w:sz="4" w:space="0"/>
            </w:tcBorders>
            <w:vAlign w:val="center"/>
          </w:tcPr>
          <w:p w14:paraId="4AAC1B9B">
            <w:pPr>
              <w:spacing w:line="360" w:lineRule="auto"/>
              <w:jc w:val="center"/>
              <w:rPr>
                <w:rFonts w:ascii="仿宋" w:hAnsi="仿宋" w:eastAsia="仿宋" w:cs="Arial"/>
                <w:color w:val="auto"/>
                <w:highlight w:val="none"/>
              </w:rPr>
            </w:pPr>
          </w:p>
        </w:tc>
        <w:tc>
          <w:tcPr>
            <w:tcW w:w="1232" w:type="pct"/>
            <w:tcBorders>
              <w:top w:val="single" w:color="auto" w:sz="4" w:space="0"/>
              <w:left w:val="nil"/>
              <w:bottom w:val="single" w:color="auto" w:sz="4" w:space="0"/>
              <w:right w:val="single" w:color="auto" w:sz="4" w:space="0"/>
            </w:tcBorders>
            <w:vAlign w:val="center"/>
          </w:tcPr>
          <w:p w14:paraId="3EC83B15">
            <w:pPr>
              <w:spacing w:line="360" w:lineRule="auto"/>
              <w:jc w:val="center"/>
              <w:rPr>
                <w:rFonts w:ascii="仿宋" w:hAnsi="仿宋" w:eastAsia="仿宋" w:cs="Arial"/>
                <w:color w:val="auto"/>
                <w:highlight w:val="none"/>
              </w:rPr>
            </w:pPr>
          </w:p>
        </w:tc>
      </w:tr>
    </w:tbl>
    <w:p w14:paraId="5E324CC5">
      <w:pPr>
        <w:spacing w:line="360" w:lineRule="auto"/>
        <w:rPr>
          <w:rFonts w:ascii="仿宋" w:hAnsi="仿宋" w:eastAsia="仿宋" w:cs="Arial"/>
          <w:color w:val="auto"/>
          <w:highlight w:val="none"/>
        </w:rPr>
      </w:pPr>
      <w:r>
        <w:rPr>
          <w:rFonts w:hint="eastAsia" w:ascii="仿宋" w:hAnsi="仿宋" w:eastAsia="仿宋"/>
          <w:color w:val="auto"/>
          <w:highlight w:val="none"/>
        </w:rPr>
        <w:t xml:space="preserve"> </w:t>
      </w:r>
    </w:p>
    <w:p w14:paraId="7CD69EA8">
      <w:pPr>
        <w:spacing w:line="360" w:lineRule="auto"/>
        <w:ind w:left="105" w:hanging="105" w:hangingChars="50"/>
        <w:rPr>
          <w:rFonts w:ascii="仿宋" w:hAnsi="仿宋" w:eastAsia="仿宋"/>
          <w:color w:val="auto"/>
          <w:highlight w:val="none"/>
        </w:rPr>
      </w:pPr>
      <w:r>
        <w:rPr>
          <w:rFonts w:hint="eastAsia" w:ascii="仿宋" w:hAnsi="仿宋" w:eastAsia="仿宋"/>
          <w:color w:val="auto"/>
          <w:highlight w:val="none"/>
        </w:rPr>
        <w:t>注：</w:t>
      </w:r>
    </w:p>
    <w:p w14:paraId="061CD03C">
      <w:pPr>
        <w:spacing w:line="360" w:lineRule="auto"/>
        <w:ind w:left="105" w:hanging="105" w:hangingChars="50"/>
        <w:rPr>
          <w:rFonts w:ascii="仿宋" w:hAnsi="仿宋" w:eastAsia="仿宋"/>
          <w:color w:val="auto"/>
          <w:highlight w:val="none"/>
        </w:rPr>
      </w:pPr>
      <w:r>
        <w:rPr>
          <w:rFonts w:hint="eastAsia" w:ascii="仿宋" w:hAnsi="仿宋" w:eastAsia="仿宋"/>
          <w:color w:val="auto"/>
          <w:highlight w:val="none"/>
        </w:rPr>
        <w:t>1.人员应附身份证。</w:t>
      </w:r>
    </w:p>
    <w:p w14:paraId="33358395">
      <w:pPr>
        <w:spacing w:line="360" w:lineRule="auto"/>
        <w:ind w:left="105" w:hanging="105" w:hangingChars="50"/>
        <w:rPr>
          <w:rFonts w:ascii="仿宋" w:hAnsi="仿宋" w:eastAsia="仿宋"/>
          <w:color w:val="auto"/>
          <w:highlight w:val="none"/>
        </w:rPr>
      </w:pPr>
      <w:r>
        <w:rPr>
          <w:rFonts w:hint="eastAsia" w:ascii="仿宋" w:hAnsi="仿宋" w:eastAsia="仿宋"/>
          <w:color w:val="auto"/>
          <w:highlight w:val="none"/>
        </w:rPr>
        <w:t>2.人员应附执业或职业资格或上岗证或职称证。</w:t>
      </w:r>
    </w:p>
    <w:p w14:paraId="7E04FBDF">
      <w:pPr>
        <w:spacing w:line="360" w:lineRule="auto"/>
        <w:rPr>
          <w:rFonts w:ascii="仿宋" w:hAnsi="仿宋" w:eastAsia="仿宋"/>
          <w:color w:val="auto"/>
          <w:highlight w:val="none"/>
        </w:rPr>
        <w:sectPr>
          <w:type w:val="continuous"/>
          <w:pgSz w:w="11906" w:h="16838"/>
          <w:pgMar w:top="1440" w:right="1797" w:bottom="1440" w:left="1797" w:header="720" w:footer="720" w:gutter="0"/>
          <w:cols w:space="720" w:num="1"/>
        </w:sectPr>
      </w:pPr>
      <w:r>
        <w:rPr>
          <w:rFonts w:hint="eastAsia" w:ascii="仿宋" w:hAnsi="仿宋" w:eastAsia="仿宋"/>
          <w:color w:val="auto"/>
          <w:highlight w:val="none"/>
        </w:rPr>
        <w:br w:type="page"/>
      </w:r>
    </w:p>
    <w:bookmarkEnd w:id="87"/>
    <w:p w14:paraId="1AEC7935">
      <w:pPr>
        <w:pStyle w:val="38"/>
        <w:rPr>
          <w:rFonts w:ascii="仿宋" w:hAnsi="仿宋" w:eastAsia="仿宋"/>
          <w:color w:val="auto"/>
          <w:highlight w:val="none"/>
        </w:rPr>
      </w:pPr>
      <w:bookmarkStart w:id="88" w:name="_Toc94214582"/>
      <w:r>
        <w:rPr>
          <w:rFonts w:hint="eastAsia" w:ascii="仿宋" w:hAnsi="仿宋" w:eastAsia="仿宋"/>
          <w:color w:val="auto"/>
          <w:highlight w:val="none"/>
        </w:rPr>
        <w:t>第八章  评审方法</w:t>
      </w:r>
      <w:bookmarkEnd w:id="88"/>
    </w:p>
    <w:p w14:paraId="1083F5C4">
      <w:pPr>
        <w:pStyle w:val="74"/>
        <w:ind w:firstLine="480"/>
        <w:rPr>
          <w:color w:val="auto"/>
          <w:highlight w:val="none"/>
        </w:rPr>
      </w:pPr>
    </w:p>
    <w:p w14:paraId="205EF49C">
      <w:pPr>
        <w:pStyle w:val="4"/>
        <w:keepNext w:val="0"/>
        <w:keepLines w:val="0"/>
        <w:spacing w:before="0" w:after="0" w:line="360" w:lineRule="auto"/>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1.总则</w:t>
      </w:r>
    </w:p>
    <w:p w14:paraId="1213915A">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1.1参照《中华人民共和国政府采购法》《中华人民共和国政府采购法实施条例》《政府采购非招标采购方式管理办法》等法律制度，结合本采购项目特点制定本谈判办法。</w:t>
      </w:r>
    </w:p>
    <w:p w14:paraId="6F594212">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1.2谈判工作由采购代理机构负责组织，具体谈判由采购代理机构依法组建的谈判小组负责。谈判小组由采购人代表和有关技术、经济、法律等方面的专家组成。</w:t>
      </w:r>
    </w:p>
    <w:p w14:paraId="26A57D42">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1.3谈判工作应遵循公平、公正、科学及择优的原则，并以相同的谈判程序和标准对待所有的供应商。</w:t>
      </w:r>
    </w:p>
    <w:p w14:paraId="5A9550BB">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1.4谈判小组按照谈判文件规定的谈判方法和标准进行谈判，并独立履行下列职责：</w:t>
      </w:r>
    </w:p>
    <w:p w14:paraId="3984FBD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（一）熟悉和理解谈判文件，确定谈判文件内容是否违反国家有关强制性规定或者谈判文件存在歧义、重大缺陷；</w:t>
      </w:r>
    </w:p>
    <w:p w14:paraId="49D9071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（二）审查供应商响应文件是否满足谈判文件要求，并作出公正评价；</w:t>
      </w:r>
    </w:p>
    <w:p w14:paraId="4B277E4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（三）根据需要要求供应商对谈判文件有关事项作出澄清、说明或者纠正；</w:t>
      </w:r>
    </w:p>
    <w:p w14:paraId="3870119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（四）推荐成交供应商，或者受采购人委托确定成交供应商；</w:t>
      </w:r>
    </w:p>
    <w:p w14:paraId="1084A3F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（五）起草评审报告并进行签署；</w:t>
      </w:r>
    </w:p>
    <w:p w14:paraId="621F32D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（六）向采购人、监督部门报告非法干预评审工作的行为；</w:t>
      </w:r>
    </w:p>
    <w:p w14:paraId="39B3CD1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（七）法律、法规和规章规定的其他职责。</w:t>
      </w:r>
    </w:p>
    <w:p w14:paraId="14D623A7">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1.5谈判过程独立、保密。供应商非法干预谈判过程的，其响应文件作为无效处理。</w:t>
      </w:r>
    </w:p>
    <w:p w14:paraId="675E6B15">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1.6谈判小组评价响应文件，除谈判小组要求其澄清、说明或者纠正而提供的资料外，仅依据响应文件本身的内容，不寻求供应商提供其他外部证据。</w:t>
      </w:r>
    </w:p>
    <w:p w14:paraId="6CA735D4">
      <w:pPr>
        <w:pStyle w:val="4"/>
        <w:keepNext w:val="0"/>
        <w:keepLines w:val="0"/>
        <w:spacing w:before="0" w:after="0" w:line="360" w:lineRule="auto"/>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2.谈判程序</w:t>
      </w:r>
    </w:p>
    <w:p w14:paraId="0DDD3D33">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2.1熟悉和理解谈判文件和停止评审。</w:t>
      </w:r>
    </w:p>
    <w:p w14:paraId="60DFC6D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2.1.1谈判小组正式评审前，应当对谈判文件进行熟悉和理解，内容主要包括谈判文件中供应商资格条件要求、采购项目技术、服务和商务要求、评审方法和标准、采购政策要求以及采购合同主要条款等。</w:t>
      </w:r>
    </w:p>
    <w:p w14:paraId="12ED232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2.1.2谈判小组熟悉和理解谈判文件以及评审过程中，发现谈判文件内容违反国家有关强制性规定或者谈判文件存在歧义、重大缺陷导致评审工作无法进行时,应当停止评审并向采购人或者采购代理机构书面说明情况。</w:t>
      </w:r>
    </w:p>
    <w:p w14:paraId="1F5E000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2.1.3除“2.1.2”规定的情形外，谈判小组成员不得以任何方式和理由停止评审。</w:t>
      </w:r>
    </w:p>
    <w:p w14:paraId="41B9C565">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2.2资格性审查。</w:t>
      </w:r>
    </w:p>
    <w:p w14:paraId="705708E2">
      <w:pPr>
        <w:adjustRightInd w:val="0"/>
        <w:snapToGrid w:val="0"/>
        <w:spacing w:line="360" w:lineRule="auto"/>
        <w:ind w:firstLine="480" w:firstLineChars="200"/>
        <w:rPr>
          <w:rFonts w:ascii="仿宋" w:hAnsi="仿宋" w:eastAsia="仿宋"/>
          <w:bCs/>
          <w:color w:val="auto"/>
          <w:sz w:val="24"/>
          <w:highlight w:val="none"/>
        </w:rPr>
      </w:pPr>
      <w:r>
        <w:rPr>
          <w:rFonts w:hint="eastAsia" w:ascii="仿宋" w:hAnsi="仿宋" w:eastAsia="仿宋"/>
          <w:bCs/>
          <w:color w:val="auto"/>
          <w:sz w:val="24"/>
          <w:highlight w:val="none"/>
        </w:rPr>
        <w:t>本项目需要谈判小组进行资格性检查。</w:t>
      </w:r>
    </w:p>
    <w:p w14:paraId="2176DB7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2.2.1谈判小组应依据法律法规和谈判文件的规定，对响应文件是否按照规定要求提供资格性证明材料、是否属于禁止参加谈判的供应商等进行审查，以确定供应商是否具备谈判资格。</w:t>
      </w:r>
    </w:p>
    <w:p w14:paraId="27A1084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2.2.2资格性审查结束后，谈判小组应当出具资格性审查报告，没有通过资格审查的供应商，谈判小组应当在资格审查报告中说明原因。</w:t>
      </w:r>
    </w:p>
    <w:p w14:paraId="2B937E2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2.2.3采购代理机构宣布未通过资格性审查的供应商名单时，应当告知供应商未通过审查的原因。</w:t>
      </w:r>
    </w:p>
    <w:p w14:paraId="5CC71293">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2.3通过资格性审查的供应商不足3家的（本章2.3.1的情况除外），终止本次采购活动，并发布终止采购活动公告。</w:t>
      </w:r>
    </w:p>
    <w:p w14:paraId="565E2D0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2.3.1根据《</w:t>
      </w:r>
      <w:r>
        <w:rPr>
          <w:rFonts w:ascii="仿宋" w:hAnsi="仿宋" w:eastAsia="仿宋"/>
          <w:color w:val="auto"/>
          <w:sz w:val="24"/>
          <w:highlight w:val="none"/>
        </w:rPr>
        <w:t>政府采购非招标采购方式管理办法</w:t>
      </w:r>
      <w:r>
        <w:rPr>
          <w:rFonts w:hint="eastAsia" w:ascii="仿宋" w:hAnsi="仿宋" w:eastAsia="仿宋"/>
          <w:color w:val="auto"/>
          <w:sz w:val="24"/>
          <w:highlight w:val="none"/>
        </w:rPr>
        <w:t>》（财政部令第74号）的相关规定，</w:t>
      </w:r>
      <w:r>
        <w:rPr>
          <w:rFonts w:ascii="仿宋" w:hAnsi="仿宋" w:eastAsia="仿宋"/>
          <w:color w:val="auto"/>
          <w:sz w:val="24"/>
          <w:highlight w:val="none"/>
        </w:rPr>
        <w:t>公开招标的货物、服务采购项目，招标过程中提交投标文件或者经评审实质性响应招标文件要求的供应商只有两家时，采购人、采购代理机构按照</w:t>
      </w:r>
      <w:bookmarkStart w:id="89" w:name="_Toc15727"/>
      <w:r>
        <w:rPr>
          <w:rFonts w:hint="eastAsia" w:ascii="仿宋" w:hAnsi="仿宋" w:eastAsia="仿宋"/>
          <w:color w:val="auto"/>
          <w:sz w:val="24"/>
          <w:highlight w:val="none"/>
        </w:rPr>
        <w:t>本办法</w:t>
      </w:r>
      <w:bookmarkEnd w:id="89"/>
      <w:r>
        <w:rPr>
          <w:rFonts w:ascii="仿宋" w:hAnsi="仿宋" w:eastAsia="仿宋"/>
          <w:color w:val="auto"/>
          <w:sz w:val="24"/>
          <w:highlight w:val="none"/>
        </w:rPr>
        <w:t>第四条经本级财政部门批准后可以与该两家供应商进行竞争性谈判采购，采购人、采购代理机构应当根据招标文件中的采购需求编制谈判文件，成立谈判小组，由谈判小组对谈判文件进行确认。符合本款情形的，本办法第三十三条、第三十五条中规定的供应商最低数量可以为两家</w:t>
      </w:r>
      <w:r>
        <w:rPr>
          <w:rFonts w:hint="eastAsia" w:ascii="仿宋" w:hAnsi="仿宋" w:eastAsia="仿宋"/>
          <w:color w:val="auto"/>
          <w:sz w:val="24"/>
          <w:highlight w:val="none"/>
        </w:rPr>
        <w:t>。</w:t>
      </w:r>
    </w:p>
    <w:p w14:paraId="3D58E720">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2.4谈判</w:t>
      </w:r>
    </w:p>
    <w:p w14:paraId="3FB442A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2.4.1谈判小组所有成员集中与单一供应商分别进行一轮或多轮谈判，并给予所有参加谈判的供应商平等的谈判机会。谈判顺序以现场抽签的方式确定。谈判过程中，谈判小组可以根据谈判情况调整谈判轮次。</w:t>
      </w:r>
    </w:p>
    <w:p w14:paraId="01E3BE1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2.4.2每轮谈判开始前，谈判小组应根据谈判文件的规定，并结合各供应商的响应文件拟定谈判内容。</w:t>
      </w:r>
    </w:p>
    <w:p w14:paraId="782C9C2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2.4.3在谈判过程中，谈判小组可以根据谈判文件和谈判情况实质性变动谈判文件的技术、服务要求以及合同草案条款，但不得变动谈判文件中的其他内容。实质性变动的内容，须经采购人代表书面确认。</w:t>
      </w:r>
    </w:p>
    <w:p w14:paraId="6E062E8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2.4.4对谈判文件作出的实质性变动是谈判文件的有效组成部分，谈判小组应当及时以书面形式同时通知所有参加谈判的供应商。</w:t>
      </w:r>
    </w:p>
    <w:p w14:paraId="399C879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2.4.5谈判过程中，谈判文件变动的，供应商应当按照谈判文件的变动情况和谈判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0C92F04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w:t>
      </w:r>
      <w:r>
        <w:rPr>
          <w:rFonts w:ascii="仿宋" w:hAnsi="仿宋" w:eastAsia="仿宋"/>
          <w:color w:val="auto"/>
          <w:sz w:val="24"/>
          <w:highlight w:val="none"/>
        </w:rPr>
        <w:t>有效性、完整性和响应程度审查</w:t>
      </w:r>
      <w:r>
        <w:rPr>
          <w:rFonts w:hint="eastAsia" w:ascii="仿宋" w:hAnsi="仿宋" w:eastAsia="仿宋"/>
          <w:color w:val="auto"/>
          <w:sz w:val="24"/>
          <w:highlight w:val="none"/>
        </w:rPr>
        <w:t>（符合性</w:t>
      </w:r>
      <w:r>
        <w:rPr>
          <w:rFonts w:ascii="仿宋" w:hAnsi="仿宋" w:eastAsia="仿宋"/>
          <w:color w:val="auto"/>
          <w:sz w:val="24"/>
          <w:highlight w:val="none"/>
        </w:rPr>
        <w:t>审查</w:t>
      </w:r>
      <w:r>
        <w:rPr>
          <w:rFonts w:hint="eastAsia" w:ascii="仿宋" w:hAnsi="仿宋" w:eastAsia="仿宋"/>
          <w:color w:val="auto"/>
          <w:sz w:val="24"/>
          <w:highlight w:val="none"/>
        </w:rPr>
        <w:t>）</w:t>
      </w:r>
    </w:p>
    <w:p w14:paraId="0DAD6A5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2.4.6.1</w:t>
      </w:r>
      <w:r>
        <w:rPr>
          <w:rFonts w:ascii="仿宋" w:hAnsi="仿宋" w:eastAsia="仿宋"/>
          <w:color w:val="auto"/>
          <w:sz w:val="24"/>
          <w:highlight w:val="none"/>
        </w:rPr>
        <w:t>谈判过程中，谈判小组对</w:t>
      </w:r>
      <w:r>
        <w:rPr>
          <w:rFonts w:hint="eastAsia" w:ascii="仿宋" w:hAnsi="仿宋" w:eastAsia="仿宋"/>
          <w:color w:val="auto"/>
          <w:sz w:val="24"/>
          <w:highlight w:val="none"/>
        </w:rPr>
        <w:t>供应商递交的首次</w:t>
      </w:r>
      <w:r>
        <w:rPr>
          <w:rFonts w:ascii="仿宋" w:hAnsi="仿宋" w:eastAsia="仿宋"/>
          <w:color w:val="auto"/>
          <w:sz w:val="24"/>
          <w:highlight w:val="none"/>
        </w:rPr>
        <w:t>响应文件进行审查，审查中发现供应商</w:t>
      </w:r>
      <w:r>
        <w:rPr>
          <w:rFonts w:hint="eastAsia" w:ascii="仿宋" w:hAnsi="仿宋" w:eastAsia="仿宋"/>
          <w:color w:val="auto"/>
          <w:sz w:val="24"/>
          <w:highlight w:val="none"/>
        </w:rPr>
        <w:t>首次</w:t>
      </w:r>
      <w:r>
        <w:rPr>
          <w:rFonts w:ascii="仿宋" w:hAnsi="仿宋" w:eastAsia="仿宋"/>
          <w:color w:val="auto"/>
          <w:sz w:val="24"/>
          <w:highlight w:val="none"/>
        </w:rPr>
        <w:t>响应文件属于下列情况之一的，应按照无效响应文件处理：</w:t>
      </w:r>
    </w:p>
    <w:p w14:paraId="46D858C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（1）响应文件的语言、报价货币</w:t>
      </w:r>
      <w:r>
        <w:rPr>
          <w:rFonts w:hint="eastAsia" w:ascii="仿宋" w:hAnsi="仿宋" w:eastAsia="仿宋"/>
          <w:color w:val="auto"/>
          <w:sz w:val="24"/>
          <w:highlight w:val="none"/>
        </w:rPr>
        <w:t>、</w:t>
      </w:r>
      <w:r>
        <w:rPr>
          <w:rFonts w:ascii="仿宋" w:hAnsi="仿宋" w:eastAsia="仿宋"/>
          <w:color w:val="auto"/>
          <w:sz w:val="24"/>
          <w:highlight w:val="none"/>
        </w:rPr>
        <w:t>知识产权</w:t>
      </w:r>
      <w:r>
        <w:rPr>
          <w:rFonts w:hint="eastAsia" w:ascii="仿宋" w:hAnsi="仿宋" w:eastAsia="仿宋"/>
          <w:color w:val="auto"/>
          <w:sz w:val="24"/>
          <w:highlight w:val="none"/>
        </w:rPr>
        <w:t>、响应文件有效期</w:t>
      </w:r>
      <w:r>
        <w:rPr>
          <w:rFonts w:ascii="仿宋" w:hAnsi="仿宋" w:eastAsia="仿宋"/>
          <w:color w:val="auto"/>
          <w:sz w:val="24"/>
          <w:highlight w:val="none"/>
        </w:rPr>
        <w:t>不符合采购文件的规定，影响</w:t>
      </w:r>
      <w:r>
        <w:rPr>
          <w:rFonts w:hint="eastAsia" w:ascii="仿宋" w:hAnsi="仿宋" w:eastAsia="仿宋"/>
          <w:color w:val="auto"/>
          <w:sz w:val="24"/>
          <w:highlight w:val="none"/>
        </w:rPr>
        <w:t>谈判</w:t>
      </w:r>
      <w:r>
        <w:rPr>
          <w:rFonts w:ascii="仿宋" w:hAnsi="仿宋" w:eastAsia="仿宋"/>
          <w:color w:val="auto"/>
          <w:sz w:val="24"/>
          <w:highlight w:val="none"/>
        </w:rPr>
        <w:t>小组评判的；</w:t>
      </w:r>
    </w:p>
    <w:p w14:paraId="03B62E3F">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w:t>
      </w:r>
      <w:r>
        <w:rPr>
          <w:rFonts w:hint="eastAsia" w:ascii="仿宋" w:hAnsi="仿宋" w:eastAsia="仿宋"/>
          <w:color w:val="auto"/>
          <w:sz w:val="24"/>
          <w:highlight w:val="none"/>
        </w:rPr>
        <w:t>2</w:t>
      </w:r>
      <w:r>
        <w:rPr>
          <w:rFonts w:ascii="仿宋" w:hAnsi="仿宋" w:eastAsia="仿宋"/>
          <w:color w:val="auto"/>
          <w:sz w:val="24"/>
          <w:highlight w:val="none"/>
        </w:rPr>
        <w:t>）</w:t>
      </w:r>
      <w:r>
        <w:rPr>
          <w:rFonts w:hint="eastAsia" w:ascii="仿宋" w:hAnsi="仿宋" w:eastAsia="仿宋"/>
          <w:color w:val="auto"/>
          <w:sz w:val="24"/>
          <w:highlight w:val="none"/>
        </w:rPr>
        <w:t>响应文件中未附已标价工程量清单。</w:t>
      </w:r>
    </w:p>
    <w:p w14:paraId="0A686B1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2.4.6.2经最终谈判后，响应文件仍有下列情况之一的，应按照无效响应文件处理：</w:t>
      </w:r>
    </w:p>
    <w:p w14:paraId="565238E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响应文件仍不能完全响应采购文件的实质性要求的</w:t>
      </w:r>
      <w:r>
        <w:rPr>
          <w:rFonts w:hint="eastAsia" w:ascii="仿宋" w:hAnsi="仿宋" w:eastAsia="仿宋"/>
          <w:color w:val="auto"/>
          <w:sz w:val="24"/>
          <w:highlight w:val="none"/>
        </w:rPr>
        <w:t>；</w:t>
      </w:r>
    </w:p>
    <w:p w14:paraId="5534151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（2）响应文件仍中有规定的其他无效响应情形的。</w:t>
      </w:r>
    </w:p>
    <w:p w14:paraId="7C80929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2.4.6.3</w:t>
      </w:r>
      <w:r>
        <w:rPr>
          <w:rFonts w:ascii="仿宋" w:hAnsi="仿宋" w:eastAsia="仿宋"/>
          <w:color w:val="auto"/>
          <w:sz w:val="24"/>
          <w:highlight w:val="none"/>
        </w:rPr>
        <w:t>谈判小组对响应文件签署、盖章等进行审查过程中，有下列情形的，谈判小组应当评定为不影响整个响应文件有效性和采购活动公平竞争，并通过响应文件的有效性审查：</w:t>
      </w:r>
    </w:p>
    <w:p w14:paraId="7A9CBB68">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（1）响应文件存在个别地方（总数不能超过2个）没有法定代表人/单位负责人签字，但有法定代表人/单位负责人的私人印章或者有效授权代理人签字的；</w:t>
      </w:r>
    </w:p>
    <w:p w14:paraId="646AA984">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（2）响应文件除采购文件明确要求加盖单位(法人)公章的以外，其他地方以相关专用章加盖的；</w:t>
      </w:r>
    </w:p>
    <w:p w14:paraId="60AFBA47">
      <w:pPr>
        <w:spacing w:line="360" w:lineRule="auto"/>
        <w:ind w:firstLine="480" w:firstLineChars="200"/>
        <w:rPr>
          <w:rFonts w:ascii="仿宋" w:hAnsi="仿宋" w:eastAsia="仿宋"/>
          <w:color w:val="auto"/>
          <w:sz w:val="24"/>
          <w:highlight w:val="none"/>
        </w:rPr>
      </w:pPr>
      <w:r>
        <w:rPr>
          <w:rFonts w:ascii="仿宋" w:hAnsi="仿宋" w:eastAsia="仿宋"/>
          <w:color w:val="auto"/>
          <w:sz w:val="24"/>
          <w:highlight w:val="none"/>
        </w:rPr>
        <w:t xml:space="preserve"> （3）以骑缝章的形式代替响应文件内容逐页盖章的（但是骑缝章模糊不清，印章名称无法辨认的除外）。</w:t>
      </w:r>
    </w:p>
    <w:p w14:paraId="358951B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2.4.6.4</w:t>
      </w:r>
      <w:r>
        <w:rPr>
          <w:rFonts w:ascii="仿宋" w:hAnsi="仿宋" w:eastAsia="仿宋"/>
          <w:color w:val="auto"/>
          <w:sz w:val="24"/>
          <w:highlight w:val="none"/>
        </w:rPr>
        <w:t>谈判小组对所有响应文件的有效性、完整性和响应程度进行审查后，向采购代理机构出具有效性、完整性和响应程度审查报告。没有通过有效性、完整性和响应程度审查的供应商，谈判小组应在有效性、完整性和响应程度审查报告中说明原因。</w:t>
      </w:r>
    </w:p>
    <w:p w14:paraId="73426EC2">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2.4.7谈判过程中，谈判的任何一方不得透露与谈判有关的其他供应商的技术资料、价格和其他信息。</w:t>
      </w:r>
    </w:p>
    <w:p w14:paraId="491C977D">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2.4.8谈判过程中，谈判小组发现或者知晓供应商存在违法、违纪行为的，谈判小组应当将该供应商淘汰，不允许其提交最后报价。</w:t>
      </w:r>
    </w:p>
    <w:p w14:paraId="202540B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2.4.9谈判完成后，谈判小组应出具谈判情况记录表，谈判情况记录表需包含谈判内容、谈判意见、实质性变动内容等。   </w:t>
      </w:r>
    </w:p>
    <w:p w14:paraId="1F05BD4F">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2.5报价</w:t>
      </w:r>
    </w:p>
    <w:p w14:paraId="329806F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2.5.1除首次响应文件中的报价以外，供应商报价采用现场报价。现场报价前，谈判小组应对供应商首次响应文件中的报价（已标价工程量清单）进行评审：</w:t>
      </w:r>
    </w:p>
    <w:p w14:paraId="167481EC">
      <w:pPr>
        <w:pStyle w:val="22"/>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（1）供应商已标价工程量清单出现谈判</w:t>
      </w:r>
      <w:r>
        <w:rPr>
          <w:rFonts w:ascii="仿宋" w:hAnsi="仿宋" w:eastAsia="仿宋"/>
          <w:color w:val="auto"/>
          <w:sz w:val="24"/>
          <w:szCs w:val="24"/>
          <w:highlight w:val="none"/>
          <w:lang w:val="zh-CN"/>
        </w:rPr>
        <w:t>文件</w:t>
      </w:r>
      <w:r>
        <w:rPr>
          <w:rFonts w:hint="eastAsia" w:ascii="仿宋" w:hAnsi="仿宋" w:eastAsia="仿宋"/>
          <w:color w:val="auto"/>
          <w:sz w:val="24"/>
          <w:szCs w:val="24"/>
          <w:highlight w:val="none"/>
          <w:lang w:val="zh-CN"/>
        </w:rPr>
        <w:t>“第二章 谈判须知”中第16.9款规定情形之一的，应按照无效响应文件处理；</w:t>
      </w:r>
    </w:p>
    <w:p w14:paraId="3FC53F6D">
      <w:pPr>
        <w:pStyle w:val="22"/>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（2）谈判小组对供应商已标价工程量清单进行算术性复核，如果出现下列不一致的，按以下原则进行修正：</w:t>
      </w:r>
    </w:p>
    <w:p w14:paraId="3007D2CC">
      <w:pPr>
        <w:pStyle w:val="22"/>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总价金额与依据单价（或</w:t>
      </w:r>
      <w:r>
        <w:rPr>
          <w:rFonts w:ascii="仿宋" w:hAnsi="仿宋" w:eastAsia="仿宋"/>
          <w:color w:val="auto"/>
          <w:sz w:val="24"/>
          <w:szCs w:val="24"/>
          <w:highlight w:val="none"/>
          <w:lang w:val="zh-CN"/>
        </w:rPr>
        <w:t>费率）</w:t>
      </w:r>
      <w:r>
        <w:rPr>
          <w:rFonts w:hint="eastAsia" w:ascii="仿宋" w:hAnsi="仿宋" w:eastAsia="仿宋"/>
          <w:color w:val="auto"/>
          <w:sz w:val="24"/>
          <w:szCs w:val="24"/>
          <w:highlight w:val="none"/>
          <w:lang w:val="zh-CN"/>
        </w:rPr>
        <w:t>计算出的结果不一致的，以单价（或</w:t>
      </w:r>
      <w:r>
        <w:rPr>
          <w:rFonts w:ascii="仿宋" w:hAnsi="仿宋" w:eastAsia="仿宋"/>
          <w:color w:val="auto"/>
          <w:sz w:val="24"/>
          <w:szCs w:val="24"/>
          <w:highlight w:val="none"/>
          <w:lang w:val="zh-CN"/>
        </w:rPr>
        <w:t>费率）</w:t>
      </w:r>
      <w:r>
        <w:rPr>
          <w:rFonts w:hint="eastAsia" w:ascii="仿宋" w:hAnsi="仿宋" w:eastAsia="仿宋"/>
          <w:color w:val="auto"/>
          <w:sz w:val="24"/>
          <w:szCs w:val="24"/>
          <w:highlight w:val="none"/>
          <w:lang w:val="zh-CN"/>
        </w:rPr>
        <w:t>为准修正总价，但单价（或</w:t>
      </w:r>
      <w:r>
        <w:rPr>
          <w:rFonts w:ascii="仿宋" w:hAnsi="仿宋" w:eastAsia="仿宋"/>
          <w:color w:val="auto"/>
          <w:sz w:val="24"/>
          <w:szCs w:val="24"/>
          <w:highlight w:val="none"/>
          <w:lang w:val="zh-CN"/>
        </w:rPr>
        <w:t>费率）</w:t>
      </w:r>
      <w:r>
        <w:rPr>
          <w:rFonts w:hint="eastAsia" w:ascii="仿宋" w:hAnsi="仿宋" w:eastAsia="仿宋"/>
          <w:color w:val="auto"/>
          <w:sz w:val="24"/>
          <w:szCs w:val="24"/>
          <w:highlight w:val="none"/>
          <w:lang w:val="zh-CN"/>
        </w:rPr>
        <w:t>小数点有明显错误的除外（包括但不限于工程量清单、单位工程汇总表、单项工程汇总表、投标报价汇总表）。</w:t>
      </w:r>
    </w:p>
    <w:p w14:paraId="32EB3D7E">
      <w:pPr>
        <w:pStyle w:val="22"/>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修正后的报价经供应商确认后产生约束力，供应商不确认的，其响应文件作为无效处理。供应商确认采取书面且加盖单位公章或者供应商授权代表签字的方式。</w:t>
      </w:r>
    </w:p>
    <w:p w14:paraId="1ED84BF0">
      <w:pPr>
        <w:pStyle w:val="22"/>
        <w:snapToGrid w:val="0"/>
        <w:spacing w:line="360" w:lineRule="auto"/>
        <w:ind w:firstLine="480" w:firstLineChars="200"/>
        <w:rPr>
          <w:rFonts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不得未经澄清、说明或者更正，直接将供应商响应文件作为无效处理。</w:t>
      </w:r>
    </w:p>
    <w:p w14:paraId="0704200A">
      <w:pPr>
        <w:pStyle w:val="22"/>
        <w:snapToGrid w:val="0"/>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szCs w:val="24"/>
          <w:highlight w:val="none"/>
          <w:lang w:val="zh-CN"/>
        </w:rPr>
        <w:t>（3）谈判小组对供应商已标价工程量清单的项目单价进行评审，对明显不合理的单价（如明显偏高或偏低）项目,应在评审报告中记录，提醒采购人在签订合同时注意，并在合同履行过程中加强风险防范。</w:t>
      </w:r>
    </w:p>
    <w:p w14:paraId="4E565D3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2.5.2已标价工程量清单评审结束后，谈判小组应当要求所有实质性响应的供应商在规定时间内提交最后报价或者多轮报价后再最后报价，提交最后报价的供应商不得少于3家。两轮（首次响应文件中的报价为第一轮）以上报价的，供应商在未提高响应文件中承诺的产品及其服务质量的情况下，其最后报价不得高于对该项目之前的报价，否则，谈判小组应当对其响应文件按无效处理，不允许进入综合评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13483B9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2.5.3参与报价的供应商按谈判小组要求进行报价。最后报价超过竞争性谈判文件规定的采购预算（或最高限价）或者相关报价不符合采购文件其他的报价规定的，应按照无效响应文件处理。</w:t>
      </w:r>
      <w:r>
        <w:rPr>
          <w:rFonts w:ascii="仿宋" w:hAnsi="仿宋" w:eastAsia="仿宋"/>
          <w:color w:val="auto"/>
          <w:sz w:val="24"/>
          <w:highlight w:val="none"/>
        </w:rPr>
        <w:t>供应商</w:t>
      </w:r>
      <w:r>
        <w:rPr>
          <w:rFonts w:hint="eastAsia" w:ascii="仿宋" w:hAnsi="仿宋" w:eastAsia="仿宋"/>
          <w:color w:val="auto"/>
          <w:sz w:val="24"/>
          <w:highlight w:val="none"/>
        </w:rPr>
        <w:t>现场</w:t>
      </w:r>
      <w:r>
        <w:rPr>
          <w:rFonts w:ascii="仿宋" w:hAnsi="仿宋" w:eastAsia="仿宋"/>
          <w:color w:val="auto"/>
          <w:sz w:val="24"/>
          <w:highlight w:val="none"/>
        </w:rPr>
        <w:t>报价大写金额和小写金额不一致的，以大写金额为准，但大写金额文字存在错误的，应当先对大写金额的文字错误进行澄清、说明或者更正，再行修正</w:t>
      </w:r>
      <w:r>
        <w:rPr>
          <w:rFonts w:hint="eastAsia" w:ascii="仿宋" w:hAnsi="仿宋" w:eastAsia="仿宋"/>
          <w:color w:val="auto"/>
          <w:sz w:val="24"/>
          <w:highlight w:val="none"/>
        </w:rPr>
        <w:t>。修正后的报价经供应商确认后产生约束力，供应商不确认的，其响应文件作为无效处理。</w:t>
      </w:r>
    </w:p>
    <w:p w14:paraId="6D6525F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2.5.4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0F51FD32">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2.6谈判小组复核。供应商最后报价结束后，谈判小组应当进行评审复核，对拟推荐为成交候选供应商的、报价最低的、供应商资格审查未通过的、供应商响应文件作无效处理的重点复核。</w:t>
      </w:r>
    </w:p>
    <w:p w14:paraId="7007554A">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2.7推荐成交候选供应商。谈判小组复核后，应当按照供应商的报价由低到高顺序推荐3家以上（本章2.3.1的情况除外）成交候选供应商，并编写谈判报告。</w:t>
      </w:r>
      <w:r>
        <w:rPr>
          <w:rFonts w:hint="eastAsia" w:ascii="仿宋" w:hAnsi="仿宋" w:eastAsia="仿宋"/>
          <w:b w:val="0"/>
          <w:bCs w:val="0"/>
          <w:color w:val="auto"/>
          <w:sz w:val="24"/>
          <w:highlight w:val="none"/>
        </w:rPr>
        <w:t>成交候选供应商并列的，在评审现场采用随机抽签的方式</w:t>
      </w:r>
      <w:r>
        <w:rPr>
          <w:rFonts w:hint="eastAsia" w:ascii="仿宋" w:hAnsi="仿宋" w:eastAsia="仿宋"/>
          <w:b w:val="0"/>
          <w:bCs w:val="0"/>
          <w:color w:val="auto"/>
          <w:sz w:val="24"/>
          <w:highlight w:val="none"/>
          <w:lang w:val="en-US" w:eastAsia="zh-CN"/>
        </w:rPr>
        <w:t>推荐成交候选</w:t>
      </w:r>
      <w:r>
        <w:rPr>
          <w:rFonts w:hint="eastAsia" w:ascii="仿宋" w:hAnsi="仿宋" w:eastAsia="仿宋"/>
          <w:b w:val="0"/>
          <w:bCs w:val="0"/>
          <w:color w:val="auto"/>
          <w:sz w:val="24"/>
          <w:highlight w:val="none"/>
        </w:rPr>
        <w:t>供应商。</w:t>
      </w:r>
    </w:p>
    <w:p w14:paraId="4DA3B782">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2.8采购代理机构现场复核评审结果。</w:t>
      </w:r>
    </w:p>
    <w:p w14:paraId="3D42908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2.8.1推荐成交候选供应商后，谈判小组拟出具谈判报告前，采购代理机构应当组织2名以上的本单位工作人员，在采购现场监督人员的监督之下，依据有关的法律制度和谈判文件对评审结果进行复核，出具复核报告，存在资格性审查认定错误和价格计算错误的，采购代理机构应当根据情况书面建议谈判小组现场修改评审结果。由谈判小组自主决定是否采纳采购代理机构的书面建议，并承担独立评审责任。谈判小组采纳采购代理机构书面建议的，应当按照规定现场修改评审结果或者重新评审，并在谈判报告中详细记载有关事宜；不采纳采购代理机构书面建议的，应当书面说明理由。采购代理机构书面建议未被谈判小组采纳的，应当按照规定程序要求继续组织实施采购活动，不得擅自中止采购活动。采购代理机构认为谈判小组评审结果不合法的。</w:t>
      </w:r>
    </w:p>
    <w:p w14:paraId="5B0E82F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采购代理机构复核过程中，谈判小组成员不得离开评审现场。</w:t>
      </w:r>
    </w:p>
    <w:p w14:paraId="5D1ECBD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2.8.2有下列情形之一的，不得现场修改评审结果：</w:t>
      </w:r>
    </w:p>
    <w:p w14:paraId="0151CFC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（1）谈判小组已经出具谈判报告并且离开评审现场的；</w:t>
      </w:r>
    </w:p>
    <w:p w14:paraId="0BFDC26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（2）采购代理机构现场复核时，复核工作人员数量不足的；</w:t>
      </w:r>
    </w:p>
    <w:p w14:paraId="4F6E141B">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（3）采购代理机构现场复核时，没有采购监督人员现场监督的；</w:t>
      </w:r>
    </w:p>
    <w:p w14:paraId="20102C73">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（4）采购代理机构现场复核内容超出规定范围的；</w:t>
      </w:r>
    </w:p>
    <w:p w14:paraId="75B2C86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（5）采购代理机构未提供书面建议的。</w:t>
      </w:r>
    </w:p>
    <w:p w14:paraId="14116312">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2.9编写谈判报告。谈判小组推荐成交候选供应商后，应向采购代理机构出具谈判报告。谈判报告应当包括以下主要内容：</w:t>
      </w:r>
    </w:p>
    <w:p w14:paraId="56DB0A6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（1）邀请供应商参加采购活动的具体方式和相关情况，以及参加采购活动的供应商名单；</w:t>
      </w:r>
    </w:p>
    <w:p w14:paraId="344150A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（2）评审日期和地点，谈判小组成员名单；</w:t>
      </w:r>
    </w:p>
    <w:p w14:paraId="050E946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（3）评审情况记录和说明，包括对供应商的资格审查情况、供应商响应文件审查情况、谈判情况、报价情况等；</w:t>
      </w:r>
    </w:p>
    <w:p w14:paraId="355DA596">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（4）推荐的成交候选人的名单及理由。</w:t>
      </w:r>
    </w:p>
    <w:p w14:paraId="02B971AC">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14:paraId="4484D2C7">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14:paraId="31F953BD">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2.11供应商澄清、说明</w:t>
      </w:r>
    </w:p>
    <w:p w14:paraId="664B0B8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D89A0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2.11.2谈判小组要求供应商澄清、说明或者更正响应文件应当以书面形式作出。供应商的澄清、说明或者更正应当由法定代表人/主要负责人/本人或其授权代表签字（</w:t>
      </w:r>
      <w:r>
        <w:rPr>
          <w:rFonts w:hint="eastAsia" w:ascii="仿宋" w:hAnsi="仿宋" w:eastAsia="仿宋"/>
          <w:b/>
          <w:color w:val="auto"/>
          <w:sz w:val="24"/>
          <w:highlight w:val="none"/>
        </w:rPr>
        <w:t>注：</w:t>
      </w:r>
      <w:r>
        <w:rPr>
          <w:rFonts w:hint="eastAsia" w:ascii="仿宋" w:hAnsi="仿宋" w:eastAsia="仿宋"/>
          <w:color w:val="auto"/>
          <w:sz w:val="24"/>
          <w:highlight w:val="none"/>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647C4CC2">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2.12终止谈判采购活动。</w:t>
      </w:r>
    </w:p>
    <w:p w14:paraId="174C8A6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出现下列情形之一的，采购人或者采购代理机构应当终止竞争性谈判采购活动，发布项目终止公告并说明原因，重新开展采购活动：</w:t>
      </w:r>
    </w:p>
    <w:p w14:paraId="0F4EF290">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（1）因情况变化，不再符合规定的竞争性谈判采购方式适用情形的；</w:t>
      </w:r>
    </w:p>
    <w:p w14:paraId="41D1DC57">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（2）出现影响采购公正的违法、违规行为的；</w:t>
      </w:r>
    </w:p>
    <w:p w14:paraId="1A35A483">
      <w:pPr>
        <w:spacing w:line="360" w:lineRule="auto"/>
        <w:ind w:firstLine="360" w:firstLineChars="150"/>
        <w:rPr>
          <w:rFonts w:ascii="仿宋" w:hAnsi="仿宋" w:eastAsia="仿宋"/>
          <w:color w:val="auto"/>
          <w:sz w:val="24"/>
          <w:highlight w:val="none"/>
        </w:rPr>
      </w:pPr>
      <w:r>
        <w:rPr>
          <w:rFonts w:hint="eastAsia" w:ascii="仿宋" w:hAnsi="仿宋" w:eastAsia="仿宋"/>
          <w:color w:val="auto"/>
          <w:sz w:val="24"/>
          <w:highlight w:val="none"/>
        </w:rPr>
        <w:t>（3）除本章2.3.1的情况外，在采购过程中符合要求的供应商或者报价未超过采购预算的供应商不足3家的。</w:t>
      </w:r>
    </w:p>
    <w:p w14:paraId="2AC9096D">
      <w:pPr>
        <w:pStyle w:val="4"/>
        <w:keepNext w:val="0"/>
        <w:keepLines w:val="0"/>
        <w:spacing w:before="0" w:after="0" w:line="360" w:lineRule="auto"/>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hint="eastAsia" w:ascii="仿宋" w:hAnsi="仿宋" w:eastAsia="仿宋"/>
          <w:b w:val="0"/>
          <w:color w:val="auto"/>
          <w:sz w:val="24"/>
          <w:highlight w:val="none"/>
        </w:rPr>
        <w:t>.</w:t>
      </w:r>
      <w:r>
        <w:rPr>
          <w:rFonts w:hint="eastAsia" w:ascii="仿宋" w:hAnsi="仿宋" w:eastAsia="仿宋"/>
          <w:color w:val="auto"/>
          <w:sz w:val="24"/>
          <w:szCs w:val="24"/>
          <w:highlight w:val="none"/>
        </w:rPr>
        <w:t>谈判纪律及注意事项</w:t>
      </w:r>
    </w:p>
    <w:p w14:paraId="135EDD6F">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3.1谈判小组内部讨论的情况和意见必须保密，任何人不得以任何形式透露给供应商或与供应商有关的单位或个人。</w:t>
      </w:r>
    </w:p>
    <w:p w14:paraId="63D5C6B9">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3.2在谈判过程中，供应商不得以任何形式对谈判小组成员进行旨在影响谈判结果的私下接触，否则将取消其参与谈判的资格。</w:t>
      </w:r>
    </w:p>
    <w:p w14:paraId="640BC3BC">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3.3对各供应商的商业秘密，谈判小组成员应予以保密，不得泄露给其他供应商。</w:t>
      </w:r>
    </w:p>
    <w:p w14:paraId="21177CFB">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3.4谈判小组独立评判，推荐成交候选人，并写出书面报告。</w:t>
      </w:r>
    </w:p>
    <w:p w14:paraId="12B585FF">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3.5谈判小组可根据需要对供应商进行实地考察。</w:t>
      </w:r>
    </w:p>
    <w:p w14:paraId="336B1DF7">
      <w:pPr>
        <w:pStyle w:val="4"/>
        <w:keepNext w:val="0"/>
        <w:keepLines w:val="0"/>
        <w:spacing w:before="0" w:after="0" w:line="360" w:lineRule="auto"/>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4.确定成交供应商</w:t>
      </w:r>
    </w:p>
    <w:p w14:paraId="711D1E14">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4.1采购代理机构应当在评审结束后2个工作日内将评审报告送采购人确认；</w:t>
      </w:r>
      <w:bookmarkStart w:id="90" w:name="_Toc209847066"/>
      <w:bookmarkStart w:id="91" w:name="_Toc101250642"/>
      <w:bookmarkStart w:id="92" w:name="_Toc101338360"/>
      <w:bookmarkStart w:id="93" w:name="_Toc101174147"/>
      <w:bookmarkStart w:id="94" w:name="_Toc430773925"/>
    </w:p>
    <w:p w14:paraId="6BB269C0">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4.2采购人应当在收到评审报告后从评审报告提出的成交候选人中，根据质量和服务均能满足谈判文件实质性响应要求且最后报价最低的原则确定成交供应商。</w:t>
      </w:r>
      <w:bookmarkEnd w:id="90"/>
      <w:bookmarkEnd w:id="91"/>
      <w:bookmarkEnd w:id="92"/>
      <w:bookmarkEnd w:id="93"/>
      <w:bookmarkEnd w:id="94"/>
    </w:p>
    <w:p w14:paraId="008D889A">
      <w:pPr>
        <w:pStyle w:val="4"/>
        <w:keepNext w:val="0"/>
        <w:keepLines w:val="0"/>
        <w:spacing w:before="0" w:after="0" w:line="360" w:lineRule="auto"/>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5.成交通知书</w:t>
      </w:r>
    </w:p>
    <w:p w14:paraId="1A26A003">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5.1成交通知书为签订采购合同的依据之一，是合同的有效组成部分。</w:t>
      </w:r>
    </w:p>
    <w:p w14:paraId="67C5A690">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5.2采购人按符合采购需求的合格供应商确定成交供应商，确定成交供应商后2个工作日内，采购代理机构在“中国招标投标公共服务平台”上公示成交结果，由采购代理机构按照相关法律法规向成交供应商发出成交通知书。</w:t>
      </w:r>
    </w:p>
    <w:p w14:paraId="6C13B091">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5</w:t>
      </w:r>
      <w:r>
        <w:rPr>
          <w:rFonts w:ascii="仿宋" w:hAnsi="仿宋" w:eastAsia="仿宋"/>
          <w:b w:val="0"/>
          <w:color w:val="auto"/>
          <w:sz w:val="24"/>
          <w:highlight w:val="none"/>
        </w:rPr>
        <w:t>.</w:t>
      </w:r>
      <w:r>
        <w:rPr>
          <w:rFonts w:hint="eastAsia" w:ascii="仿宋" w:hAnsi="仿宋" w:eastAsia="仿宋"/>
          <w:b w:val="0"/>
          <w:color w:val="auto"/>
          <w:sz w:val="24"/>
          <w:highlight w:val="none"/>
        </w:rPr>
        <w:t>3成交通知书将作为签订合同的依据。成交通知书对采购人和成交供应商均具有法律效力。成交通知书发出后，采购人改变成交结果或成交供应商无正当理由放弃成交项目的，应当依法承担相关责任。</w:t>
      </w:r>
    </w:p>
    <w:p w14:paraId="59C7708D">
      <w:pPr>
        <w:pStyle w:val="5"/>
        <w:keepNext w:val="0"/>
        <w:keepLines w:val="0"/>
        <w:spacing w:before="0" w:after="0" w:line="360" w:lineRule="auto"/>
        <w:ind w:firstLine="480" w:firstLineChars="200"/>
        <w:rPr>
          <w:rFonts w:ascii="仿宋" w:hAnsi="仿宋" w:eastAsia="仿宋"/>
          <w:b w:val="0"/>
          <w:color w:val="auto"/>
          <w:sz w:val="24"/>
          <w:highlight w:val="none"/>
        </w:rPr>
      </w:pPr>
      <w:r>
        <w:rPr>
          <w:rFonts w:hint="eastAsia" w:ascii="仿宋" w:hAnsi="仿宋" w:eastAsia="仿宋"/>
          <w:b w:val="0"/>
          <w:color w:val="auto"/>
          <w:sz w:val="24"/>
          <w:highlight w:val="none"/>
        </w:rPr>
        <w:t>5</w:t>
      </w:r>
      <w:r>
        <w:rPr>
          <w:rFonts w:ascii="仿宋" w:hAnsi="仿宋" w:eastAsia="仿宋"/>
          <w:b w:val="0"/>
          <w:color w:val="auto"/>
          <w:sz w:val="24"/>
          <w:highlight w:val="none"/>
        </w:rPr>
        <w:t>.</w:t>
      </w:r>
      <w:r>
        <w:rPr>
          <w:rFonts w:hint="eastAsia" w:ascii="仿宋" w:hAnsi="仿宋" w:eastAsia="仿宋"/>
          <w:b w:val="0"/>
          <w:color w:val="auto"/>
          <w:sz w:val="24"/>
          <w:highlight w:val="none"/>
        </w:rPr>
        <w:t>4采购人和采购代理机构不对成交或未成交原因作出解释，也不退还响应文件。</w:t>
      </w:r>
    </w:p>
    <w:p w14:paraId="491EE194">
      <w:pPr>
        <w:pStyle w:val="4"/>
        <w:keepNext w:val="0"/>
        <w:keepLines w:val="0"/>
        <w:spacing w:before="0" w:after="0" w:line="360" w:lineRule="auto"/>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6.谈判小组在采购活动中承担以下义务：</w:t>
      </w:r>
    </w:p>
    <w:p w14:paraId="1EAB9D1A">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（一）遵守评审工作纪律；</w:t>
      </w:r>
    </w:p>
    <w:p w14:paraId="02A6B258">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（二）按照客观、公正、审慎的原则，根据谈判文件规定的评审程序、评审方法和评审标准进行独立评审；</w:t>
      </w:r>
    </w:p>
    <w:p w14:paraId="7E44F1DC">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（三）不得泄露评审文件、评审情况和在评审过程中获悉的商业秘密；</w:t>
      </w:r>
    </w:p>
    <w:p w14:paraId="18C8D7CA">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（四）及时向相关部门报告评审过程中发现的采购人、采购代理机构向评审专家做倾向性、误导性的解释或者说明，以及供应商行贿、提供虚假材料或者串通等违法行为；</w:t>
      </w:r>
    </w:p>
    <w:p w14:paraId="13CE5C0D">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（五）发现谈判文件内容违反国家有关强制性规定或者谈判文件存在歧义、重大缺陷导致评审工作无法进行时，停止评审并向采购人或者采购代理机构书面说明情况；</w:t>
      </w:r>
    </w:p>
    <w:p w14:paraId="3E3A8212">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（六）及时向监察等部门举报在评审过程中受到非法干预的情况；</w:t>
      </w:r>
    </w:p>
    <w:p w14:paraId="26799E49">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（七）配合答复处理供应商的询问、质疑和投诉等事项；</w:t>
      </w:r>
    </w:p>
    <w:p w14:paraId="131BB57F">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（八）法律、法规和规章规定的其他义务。</w:t>
      </w:r>
    </w:p>
    <w:p w14:paraId="51A10E05">
      <w:pPr>
        <w:pStyle w:val="4"/>
        <w:keepNext w:val="0"/>
        <w:keepLines w:val="0"/>
        <w:spacing w:before="0" w:after="0" w:line="360" w:lineRule="auto"/>
        <w:ind w:firstLine="472" w:firstLineChars="196"/>
        <w:rPr>
          <w:rFonts w:ascii="仿宋" w:hAnsi="仿宋" w:eastAsia="仿宋"/>
          <w:color w:val="auto"/>
          <w:sz w:val="24"/>
          <w:szCs w:val="24"/>
          <w:highlight w:val="none"/>
        </w:rPr>
      </w:pPr>
      <w:r>
        <w:rPr>
          <w:rFonts w:hint="eastAsia" w:ascii="仿宋" w:hAnsi="仿宋" w:eastAsia="仿宋"/>
          <w:color w:val="auto"/>
          <w:sz w:val="24"/>
          <w:szCs w:val="24"/>
          <w:highlight w:val="none"/>
        </w:rPr>
        <w:t>7.评审专家在采购活动中应当遵守以下工作纪律：</w:t>
      </w:r>
    </w:p>
    <w:p w14:paraId="7351C43F">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（一）不得参加与自己有《中华人民共和国政府采购法实施条例》第九条规定的利害关系的采购项目的评标活动。发现参加了与自己有利害关系的评审活动，须主动提出回避，退出评审；</w:t>
      </w:r>
    </w:p>
    <w:p w14:paraId="491E8DFD">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（二）评审前，应当将通讯工具或者相关电子设备交由采购代理机构统一保管；</w:t>
      </w:r>
    </w:p>
    <w:p w14:paraId="5E7993F3">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（三）评审过程中，不得与外界联系，因发生不可预见情况，确实需要与外界联系的，应当在监督人员监督之下办理；</w:t>
      </w:r>
    </w:p>
    <w:p w14:paraId="36DB4352">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5B992217">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（五）在评审过程中和评审结束后，不得记录、复制或带走任何评审资料，不得向外界透露评审内容；</w:t>
      </w:r>
    </w:p>
    <w:p w14:paraId="0B433EE0">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（六）评审现场服从采购代理机构工作人员的管理，接受现场监督人员的合法监督；</w:t>
      </w:r>
    </w:p>
    <w:p w14:paraId="2EDB64B5">
      <w:pPr>
        <w:tabs>
          <w:tab w:val="left" w:pos="7665"/>
        </w:tabs>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（七）遵守有关廉洁自律规定，不得私下接触供应商，不得收受供应商及有关业务单位和个人的财物或好处，不得接受采购代理机构的请托。</w:t>
      </w:r>
    </w:p>
    <w:p w14:paraId="73BAF753">
      <w:pPr>
        <w:tabs>
          <w:tab w:val="left" w:pos="7665"/>
        </w:tabs>
        <w:spacing w:line="360" w:lineRule="auto"/>
        <w:jc w:val="center"/>
        <w:rPr>
          <w:rFonts w:ascii="仿宋" w:hAnsi="仿宋" w:eastAsia="仿宋"/>
          <w:color w:val="auto"/>
          <w:sz w:val="36"/>
          <w:szCs w:val="36"/>
          <w:highlight w:val="none"/>
        </w:rPr>
      </w:pPr>
    </w:p>
    <w:p w14:paraId="12905F97">
      <w:pPr>
        <w:widowControl/>
        <w:spacing w:line="360" w:lineRule="auto"/>
        <w:jc w:val="left"/>
        <w:rPr>
          <w:rFonts w:ascii="仿宋" w:hAnsi="仿宋" w:eastAsia="仿宋"/>
          <w:color w:val="auto"/>
          <w:sz w:val="36"/>
          <w:szCs w:val="36"/>
          <w:highlight w:val="none"/>
        </w:rPr>
      </w:pPr>
      <w:r>
        <w:rPr>
          <w:rFonts w:ascii="仿宋" w:hAnsi="仿宋" w:eastAsia="仿宋"/>
          <w:color w:val="auto"/>
          <w:sz w:val="36"/>
          <w:szCs w:val="36"/>
          <w:highlight w:val="none"/>
        </w:rPr>
        <w:br w:type="page"/>
      </w:r>
    </w:p>
    <w:p w14:paraId="1D67572C">
      <w:pPr>
        <w:pStyle w:val="38"/>
        <w:rPr>
          <w:rFonts w:ascii="仿宋" w:hAnsi="仿宋" w:eastAsia="仿宋"/>
          <w:color w:val="auto"/>
          <w:highlight w:val="none"/>
        </w:rPr>
      </w:pPr>
      <w:bookmarkStart w:id="95" w:name="_Toc509579148"/>
      <w:bookmarkStart w:id="96" w:name="_Toc511289488"/>
      <w:bookmarkStart w:id="97" w:name="_Toc94214583"/>
      <w:r>
        <w:rPr>
          <w:rFonts w:hint="eastAsia" w:ascii="仿宋" w:hAnsi="仿宋" w:eastAsia="仿宋"/>
          <w:color w:val="auto"/>
          <w:highlight w:val="none"/>
        </w:rPr>
        <w:t>第九章  采购合同（草案）</w:t>
      </w:r>
      <w:bookmarkEnd w:id="95"/>
      <w:bookmarkEnd w:id="96"/>
      <w:bookmarkEnd w:id="97"/>
    </w:p>
    <w:p w14:paraId="79C3DE87">
      <w:pPr>
        <w:spacing w:line="360" w:lineRule="auto"/>
        <w:ind w:firstLine="482" w:firstLineChars="200"/>
        <w:rPr>
          <w:rFonts w:ascii="仿宋" w:hAnsi="仿宋" w:eastAsia="仿宋"/>
          <w:b/>
          <w:bCs/>
          <w:color w:val="auto"/>
          <w:sz w:val="24"/>
          <w:highlight w:val="none"/>
        </w:rPr>
      </w:pPr>
    </w:p>
    <w:bookmarkEnd w:id="27"/>
    <w:bookmarkEnd w:id="81"/>
    <w:bookmarkEnd w:id="82"/>
    <w:bookmarkEnd w:id="83"/>
    <w:p w14:paraId="741C3FF6">
      <w:pPr>
        <w:autoSpaceDE w:val="0"/>
        <w:autoSpaceDN w:val="0"/>
        <w:spacing w:line="360" w:lineRule="auto"/>
        <w:jc w:val="center"/>
        <w:rPr>
          <w:b/>
          <w:bCs/>
          <w:color w:val="auto"/>
          <w:kern w:val="0"/>
          <w:sz w:val="40"/>
          <w:szCs w:val="40"/>
          <w:highlight w:val="none"/>
          <w:lang w:bidi="zh-CN"/>
        </w:rPr>
      </w:pPr>
    </w:p>
    <w:p w14:paraId="4C2752FF">
      <w:pPr>
        <w:wordWrap w:val="0"/>
        <w:autoSpaceDE w:val="0"/>
        <w:autoSpaceDN w:val="0"/>
        <w:jc w:val="center"/>
        <w:rPr>
          <w:b/>
          <w:bCs/>
          <w:color w:val="auto"/>
          <w:kern w:val="0"/>
          <w:sz w:val="40"/>
          <w:szCs w:val="40"/>
          <w:highlight w:val="none"/>
          <w:lang w:bidi="zh-CN"/>
        </w:rPr>
      </w:pPr>
      <w:r>
        <w:rPr>
          <w:rFonts w:hint="eastAsia"/>
          <w:b/>
          <w:bCs/>
          <w:color w:val="auto"/>
          <w:kern w:val="0"/>
          <w:sz w:val="40"/>
          <w:szCs w:val="40"/>
          <w:highlight w:val="none"/>
          <w:lang w:bidi="zh-CN"/>
        </w:rPr>
        <w:t>成都市技师学院东校区男生宿舍及公共厕所修缮工程项目</w:t>
      </w:r>
    </w:p>
    <w:p w14:paraId="4B92A6EE">
      <w:pPr>
        <w:wordWrap w:val="0"/>
        <w:autoSpaceDE w:val="0"/>
        <w:autoSpaceDN w:val="0"/>
        <w:jc w:val="center"/>
        <w:rPr>
          <w:b/>
          <w:bCs/>
          <w:color w:val="auto"/>
          <w:kern w:val="0"/>
          <w:sz w:val="40"/>
          <w:szCs w:val="40"/>
          <w:highlight w:val="none"/>
          <w:lang w:bidi="zh-CN"/>
        </w:rPr>
      </w:pPr>
      <w:r>
        <w:rPr>
          <w:rFonts w:hint="eastAsia"/>
          <w:b/>
          <w:bCs/>
          <w:color w:val="auto"/>
          <w:kern w:val="0"/>
          <w:sz w:val="40"/>
          <w:szCs w:val="40"/>
          <w:highlight w:val="none"/>
          <w:lang w:bidi="zh-CN"/>
        </w:rPr>
        <w:t>工 程 施 工 合 同</w:t>
      </w:r>
    </w:p>
    <w:p w14:paraId="32F97466">
      <w:pPr>
        <w:wordWrap w:val="0"/>
        <w:autoSpaceDE w:val="0"/>
        <w:autoSpaceDN w:val="0"/>
        <w:ind w:firstLine="420" w:firstLineChars="200"/>
        <w:rPr>
          <w:color w:val="auto"/>
          <w:highlight w:val="none"/>
          <w:lang w:bidi="zh-CN"/>
        </w:rPr>
      </w:pPr>
    </w:p>
    <w:p w14:paraId="423BD780">
      <w:pPr>
        <w:wordWrap w:val="0"/>
        <w:autoSpaceDE w:val="0"/>
        <w:autoSpaceDN w:val="0"/>
        <w:ind w:firstLine="420" w:firstLineChars="200"/>
        <w:rPr>
          <w:color w:val="auto"/>
          <w:kern w:val="0"/>
          <w:highlight w:val="none"/>
          <w:lang w:bidi="zh-CN"/>
        </w:rPr>
      </w:pPr>
    </w:p>
    <w:p w14:paraId="46454452">
      <w:pPr>
        <w:wordWrap w:val="0"/>
        <w:autoSpaceDE w:val="0"/>
        <w:autoSpaceDN w:val="0"/>
        <w:ind w:firstLine="420" w:firstLineChars="200"/>
        <w:rPr>
          <w:color w:val="auto"/>
          <w:kern w:val="0"/>
          <w:highlight w:val="none"/>
          <w:lang w:bidi="zh-CN"/>
        </w:rPr>
      </w:pPr>
    </w:p>
    <w:p w14:paraId="37E8A9E8">
      <w:pPr>
        <w:wordWrap w:val="0"/>
        <w:autoSpaceDE w:val="0"/>
        <w:autoSpaceDN w:val="0"/>
        <w:ind w:firstLine="420" w:firstLineChars="200"/>
        <w:rPr>
          <w:color w:val="auto"/>
          <w:highlight w:val="none"/>
          <w:lang w:bidi="zh-CN"/>
        </w:rPr>
      </w:pPr>
    </w:p>
    <w:p w14:paraId="35E330B9">
      <w:pPr>
        <w:autoSpaceDE w:val="0"/>
        <w:autoSpaceDN w:val="0"/>
        <w:ind w:firstLine="1505" w:firstLineChars="717"/>
        <w:rPr>
          <w:color w:val="auto"/>
          <w:kern w:val="0"/>
          <w:highlight w:val="none"/>
          <w:lang w:bidi="zh-CN"/>
        </w:rPr>
      </w:pPr>
      <w:r>
        <w:rPr>
          <w:rFonts w:hint="eastAsia"/>
          <w:color w:val="auto"/>
          <w:kern w:val="0"/>
          <w:highlight w:val="none"/>
          <w:lang w:bidi="zh-CN"/>
        </w:rPr>
        <w:t>甲方(发包人)：成都市技师学院</w:t>
      </w:r>
    </w:p>
    <w:p w14:paraId="615F5B56">
      <w:pPr>
        <w:wordWrap w:val="0"/>
        <w:autoSpaceDE w:val="0"/>
        <w:autoSpaceDN w:val="0"/>
        <w:ind w:firstLine="1505" w:firstLineChars="717"/>
        <w:rPr>
          <w:color w:val="auto"/>
          <w:kern w:val="0"/>
          <w:highlight w:val="none"/>
          <w:lang w:bidi="zh-CN"/>
        </w:rPr>
      </w:pPr>
    </w:p>
    <w:p w14:paraId="6EF29C68">
      <w:pPr>
        <w:wordWrap w:val="0"/>
        <w:autoSpaceDE w:val="0"/>
        <w:autoSpaceDN w:val="0"/>
        <w:ind w:firstLine="1505" w:firstLineChars="717"/>
        <w:rPr>
          <w:color w:val="auto"/>
          <w:kern w:val="0"/>
          <w:highlight w:val="none"/>
          <w:lang w:bidi="zh-CN"/>
        </w:rPr>
      </w:pPr>
      <w:r>
        <w:rPr>
          <w:rFonts w:hint="eastAsia"/>
          <w:color w:val="auto"/>
          <w:kern w:val="0"/>
          <w:highlight w:val="none"/>
          <w:lang w:bidi="zh-CN"/>
        </w:rPr>
        <w:t>乙方(承包人)：x</w:t>
      </w:r>
      <w:r>
        <w:rPr>
          <w:color w:val="auto"/>
          <w:kern w:val="0"/>
          <w:highlight w:val="none"/>
          <w:lang w:bidi="zh-CN"/>
        </w:rPr>
        <w:t>xxxxx</w:t>
      </w:r>
      <w:r>
        <w:rPr>
          <w:rFonts w:hint="eastAsia"/>
          <w:color w:val="auto"/>
          <w:kern w:val="0"/>
          <w:highlight w:val="none"/>
          <w:lang w:bidi="zh-CN"/>
        </w:rPr>
        <w:t>公司</w:t>
      </w:r>
    </w:p>
    <w:p w14:paraId="0053278D">
      <w:pPr>
        <w:wordWrap w:val="0"/>
        <w:autoSpaceDE w:val="0"/>
        <w:autoSpaceDN w:val="0"/>
        <w:ind w:firstLine="1505" w:firstLineChars="717"/>
        <w:rPr>
          <w:color w:val="auto"/>
          <w:kern w:val="0"/>
          <w:highlight w:val="none"/>
          <w:lang w:bidi="zh-CN"/>
        </w:rPr>
      </w:pPr>
    </w:p>
    <w:p w14:paraId="5E845E77">
      <w:pPr>
        <w:wordWrap w:val="0"/>
        <w:autoSpaceDE w:val="0"/>
        <w:autoSpaceDN w:val="0"/>
        <w:ind w:firstLine="1505" w:firstLineChars="717"/>
        <w:rPr>
          <w:color w:val="auto"/>
          <w:kern w:val="0"/>
          <w:highlight w:val="none"/>
          <w:lang w:bidi="zh-CN"/>
        </w:rPr>
      </w:pPr>
      <w:r>
        <w:rPr>
          <w:rFonts w:hint="eastAsia"/>
          <w:color w:val="auto"/>
          <w:kern w:val="0"/>
          <w:highlight w:val="none"/>
          <w:lang w:bidi="zh-CN"/>
        </w:rPr>
        <w:t>合同编号：</w:t>
      </w:r>
      <w:r>
        <w:rPr>
          <w:color w:val="auto"/>
          <w:kern w:val="0"/>
          <w:highlight w:val="none"/>
          <w:lang w:bidi="zh-CN"/>
        </w:rPr>
        <w:t>xxxxxxxx</w:t>
      </w:r>
    </w:p>
    <w:p w14:paraId="271849CE">
      <w:pPr>
        <w:wordWrap w:val="0"/>
        <w:autoSpaceDE w:val="0"/>
        <w:autoSpaceDN w:val="0"/>
        <w:ind w:firstLine="1505" w:firstLineChars="717"/>
        <w:rPr>
          <w:color w:val="auto"/>
          <w:kern w:val="0"/>
          <w:highlight w:val="none"/>
          <w:lang w:bidi="zh-CN"/>
        </w:rPr>
      </w:pPr>
    </w:p>
    <w:p w14:paraId="7E3E2588">
      <w:pPr>
        <w:wordWrap w:val="0"/>
        <w:autoSpaceDE w:val="0"/>
        <w:autoSpaceDN w:val="0"/>
        <w:ind w:firstLine="1505" w:firstLineChars="717"/>
        <w:rPr>
          <w:color w:val="auto"/>
          <w:kern w:val="0"/>
          <w:highlight w:val="none"/>
          <w:lang w:val="zh-CN" w:bidi="zh-CN"/>
        </w:rPr>
      </w:pPr>
      <w:r>
        <w:rPr>
          <w:rFonts w:hint="eastAsia"/>
          <w:color w:val="auto"/>
          <w:kern w:val="0"/>
          <w:highlight w:val="none"/>
          <w:lang w:bidi="zh-CN"/>
        </w:rPr>
        <w:t xml:space="preserve">签订时间：  </w:t>
      </w:r>
      <w:r>
        <w:rPr>
          <w:color w:val="auto"/>
          <w:kern w:val="0"/>
          <w:highlight w:val="none"/>
          <w:lang w:bidi="zh-CN"/>
        </w:rPr>
        <w:t xml:space="preserve"> 年</w:t>
      </w:r>
      <w:r>
        <w:rPr>
          <w:rFonts w:hint="eastAsia"/>
          <w:color w:val="auto"/>
          <w:kern w:val="0"/>
          <w:highlight w:val="none"/>
          <w:lang w:bidi="zh-CN"/>
        </w:rPr>
        <w:t xml:space="preserve"> </w:t>
      </w:r>
      <w:r>
        <w:rPr>
          <w:color w:val="auto"/>
          <w:kern w:val="0"/>
          <w:highlight w:val="none"/>
          <w:lang w:bidi="zh-CN"/>
        </w:rPr>
        <w:t>月</w:t>
      </w:r>
      <w:r>
        <w:rPr>
          <w:rFonts w:hint="eastAsia"/>
          <w:color w:val="auto"/>
          <w:kern w:val="0"/>
          <w:highlight w:val="none"/>
          <w:lang w:bidi="zh-CN"/>
        </w:rPr>
        <w:t xml:space="preserve">  </w:t>
      </w:r>
      <w:r>
        <w:rPr>
          <w:rFonts w:hint="eastAsia"/>
          <w:color w:val="auto"/>
          <w:kern w:val="0"/>
          <w:highlight w:val="none"/>
          <w:lang w:val="zh-CN" w:bidi="zh-CN"/>
        </w:rPr>
        <w:br w:type="page"/>
      </w:r>
    </w:p>
    <w:p w14:paraId="11513506">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项目名称：成都市技师学院东校区男生宿舍及公共厕所修缮工程项目</w:t>
      </w:r>
    </w:p>
    <w:p w14:paraId="118992DE">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签订地点：成都市郫都区港通北三路成都市技师学院</w:t>
      </w:r>
    </w:p>
    <w:p w14:paraId="7B41B06D">
      <w:pPr>
        <w:wordWrap w:val="0"/>
        <w:autoSpaceDE w:val="0"/>
        <w:autoSpaceDN w:val="0"/>
        <w:ind w:firstLine="560" w:firstLineChars="20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bidi="zh-CN"/>
        </w:rPr>
        <w:t xml:space="preserve">甲方(发包人)：成都市技师学院          </w:t>
      </w:r>
    </w:p>
    <w:p w14:paraId="0C8776B2">
      <w:pPr>
        <w:wordWrap w:val="0"/>
        <w:autoSpaceDE w:val="0"/>
        <w:autoSpaceDN w:val="0"/>
        <w:ind w:firstLine="560" w:firstLineChars="20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bidi="zh-CN"/>
        </w:rPr>
        <w:t>乙方(承包人）：X</w:t>
      </w:r>
      <w:r>
        <w:rPr>
          <w:rFonts w:ascii="仿宋" w:hAnsi="仿宋" w:eastAsia="仿宋"/>
          <w:color w:val="auto"/>
          <w:kern w:val="0"/>
          <w:sz w:val="28"/>
          <w:szCs w:val="28"/>
          <w:highlight w:val="none"/>
          <w:lang w:bidi="zh-CN"/>
        </w:rPr>
        <w:t>XXXXX</w:t>
      </w:r>
      <w:r>
        <w:rPr>
          <w:rFonts w:hint="eastAsia" w:ascii="仿宋" w:hAnsi="仿宋" w:eastAsia="仿宋"/>
          <w:color w:val="auto"/>
          <w:kern w:val="0"/>
          <w:sz w:val="28"/>
          <w:szCs w:val="28"/>
          <w:highlight w:val="none"/>
          <w:lang w:bidi="zh-CN"/>
        </w:rPr>
        <w:t xml:space="preserve">公司   </w:t>
      </w:r>
    </w:p>
    <w:p w14:paraId="7B77FCA6">
      <w:pPr>
        <w:wordWrap w:val="0"/>
        <w:autoSpaceDE w:val="0"/>
        <w:autoSpaceDN w:val="0"/>
        <w:ind w:firstLine="560" w:firstLineChars="200"/>
        <w:rPr>
          <w:rFonts w:ascii="仿宋" w:hAnsi="仿宋" w:eastAsia="仿宋"/>
          <w:color w:val="auto"/>
          <w:kern w:val="0"/>
          <w:sz w:val="28"/>
          <w:szCs w:val="28"/>
          <w:highlight w:val="none"/>
          <w:lang w:bidi="zh-CN"/>
        </w:rPr>
      </w:pPr>
    </w:p>
    <w:p w14:paraId="4583BBFC">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bidi="zh-CN"/>
        </w:rPr>
        <w:t>根据《中华人民共和国民法典》《中华人民共和国建筑法》成都市技师学院东校区男生宿舍及公共厕所修缮工程项目的《竞争性谈判文件》、乙方的《响应文件》及《成交通知书》，甲、乙双方同意签订本合同,</w:t>
      </w:r>
      <w:r>
        <w:rPr>
          <w:rFonts w:hint="eastAsia" w:ascii="仿宋" w:hAnsi="仿宋" w:eastAsia="仿宋"/>
          <w:color w:val="auto"/>
          <w:kern w:val="0"/>
          <w:sz w:val="28"/>
          <w:szCs w:val="28"/>
          <w:highlight w:val="none"/>
          <w:lang w:val="zh-CN" w:bidi="zh-CN"/>
        </w:rPr>
        <w:t>共同遵守如下条款：</w:t>
      </w:r>
    </w:p>
    <w:p w14:paraId="4687DABC">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val="zh-CN" w:bidi="zh-CN"/>
        </w:rPr>
        <w:t>一、工程概况</w:t>
      </w:r>
    </w:p>
    <w:p w14:paraId="14EEC482">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1.工程名称：成都市技师学院东校区男生宿舍及公共厕所修缮工程项目</w:t>
      </w:r>
    </w:p>
    <w:p w14:paraId="44038992">
      <w:pPr>
        <w:wordWrap w:val="0"/>
        <w:autoSpaceDE w:val="0"/>
        <w:autoSpaceDN w:val="0"/>
        <w:ind w:firstLine="560" w:firstLineChars="200"/>
        <w:rPr>
          <w:rFonts w:hint="eastAsia"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2.工程地点：四川省成都市成华区槐树店路32号</w:t>
      </w:r>
    </w:p>
    <w:p w14:paraId="3E3EABB1">
      <w:pPr>
        <w:wordWrap w:val="0"/>
        <w:autoSpaceDE w:val="0"/>
        <w:autoSpaceDN w:val="0"/>
        <w:ind w:firstLine="560" w:firstLineChars="20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val="zh-CN" w:bidi="zh-CN"/>
        </w:rPr>
        <w:t>3.资金来源：</w:t>
      </w:r>
      <w:r>
        <w:rPr>
          <w:rFonts w:hint="eastAsia" w:ascii="仿宋" w:hAnsi="仿宋" w:eastAsia="仿宋"/>
          <w:color w:val="auto"/>
          <w:kern w:val="0"/>
          <w:sz w:val="28"/>
          <w:szCs w:val="28"/>
          <w:highlight w:val="none"/>
          <w:u w:val="single"/>
          <w:lang w:bidi="zh-CN"/>
        </w:rPr>
        <w:t xml:space="preserve">财政拨款 </w:t>
      </w:r>
    </w:p>
    <w:p w14:paraId="3B6AE55E">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 xml:space="preserve">4.工程内容：清单内所有内容 </w:t>
      </w:r>
    </w:p>
    <w:p w14:paraId="12887DC2">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5.工程承包范围：清单内所有内容</w:t>
      </w:r>
    </w:p>
    <w:p w14:paraId="365BF15C">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bidi="zh-CN"/>
        </w:rPr>
        <w:t>6.</w:t>
      </w:r>
      <w:r>
        <w:rPr>
          <w:rFonts w:hint="eastAsia" w:ascii="仿宋" w:hAnsi="仿宋" w:eastAsia="仿宋"/>
          <w:color w:val="auto"/>
          <w:kern w:val="0"/>
          <w:sz w:val="28"/>
          <w:szCs w:val="28"/>
          <w:highlight w:val="none"/>
          <w:lang w:val="zh-CN" w:bidi="zh-CN"/>
        </w:rPr>
        <w:t>工程概况：工程内容主要包含学校东校区男生宿舍翻新、男生宿舍卫生间修缮、女生宿舍卫生间修缮以及公共厕所翻新，详见工程量清单。</w:t>
      </w:r>
    </w:p>
    <w:p w14:paraId="050FE6A1">
      <w:pPr>
        <w:wordWrap w:val="0"/>
        <w:autoSpaceDE w:val="0"/>
        <w:autoSpaceDN w:val="0"/>
        <w:ind w:firstLine="562" w:firstLineChars="200"/>
        <w:rPr>
          <w:rFonts w:ascii="仿宋" w:hAnsi="仿宋" w:eastAsia="仿宋"/>
          <w:b/>
          <w:color w:val="auto"/>
          <w:kern w:val="0"/>
          <w:sz w:val="28"/>
          <w:szCs w:val="28"/>
          <w:highlight w:val="none"/>
          <w:lang w:bidi="zh-CN"/>
        </w:rPr>
      </w:pPr>
      <w:r>
        <w:rPr>
          <w:rFonts w:hint="eastAsia" w:ascii="仿宋" w:hAnsi="仿宋" w:eastAsia="仿宋"/>
          <w:b/>
          <w:color w:val="auto"/>
          <w:kern w:val="0"/>
          <w:sz w:val="28"/>
          <w:szCs w:val="28"/>
          <w:highlight w:val="none"/>
          <w:lang w:val="zh-CN" w:bidi="zh-CN"/>
        </w:rPr>
        <w:t>二、合同工期</w:t>
      </w:r>
    </w:p>
    <w:p w14:paraId="7C52E581">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bidi="zh-CN"/>
        </w:rPr>
        <w:t>1.</w:t>
      </w:r>
      <w:r>
        <w:rPr>
          <w:rFonts w:hint="eastAsia" w:ascii="仿宋" w:hAnsi="仿宋" w:eastAsia="仿宋"/>
          <w:color w:val="auto"/>
          <w:kern w:val="0"/>
          <w:sz w:val="28"/>
          <w:szCs w:val="28"/>
          <w:highlight w:val="none"/>
          <w:lang w:val="zh-CN" w:bidi="zh-CN"/>
        </w:rPr>
        <w:t>工期总日历天数：</w:t>
      </w:r>
      <w:r>
        <w:rPr>
          <w:rFonts w:hint="eastAsia" w:ascii="仿宋" w:hAnsi="仿宋" w:eastAsia="仿宋"/>
          <w:color w:val="auto"/>
          <w:kern w:val="0"/>
          <w:sz w:val="28"/>
          <w:szCs w:val="28"/>
          <w:highlight w:val="none"/>
          <w:u w:val="single"/>
          <w:lang w:val="en-US" w:bidi="zh-CN"/>
        </w:rPr>
        <w:t>50</w:t>
      </w:r>
      <w:r>
        <w:rPr>
          <w:rFonts w:hint="eastAsia" w:ascii="仿宋" w:hAnsi="仿宋" w:eastAsia="仿宋"/>
          <w:color w:val="auto"/>
          <w:kern w:val="0"/>
          <w:sz w:val="28"/>
          <w:szCs w:val="28"/>
          <w:highlight w:val="none"/>
          <w:u w:val="single"/>
          <w:lang w:bidi="zh-CN"/>
        </w:rPr>
        <w:t>个</w:t>
      </w:r>
      <w:r>
        <w:rPr>
          <w:rFonts w:hint="eastAsia" w:ascii="仿宋" w:hAnsi="仿宋" w:eastAsia="仿宋"/>
          <w:color w:val="auto"/>
          <w:kern w:val="0"/>
          <w:sz w:val="28"/>
          <w:szCs w:val="28"/>
          <w:highlight w:val="none"/>
          <w:u w:val="single"/>
          <w:lang w:val="zh-CN" w:bidi="zh-CN"/>
        </w:rPr>
        <w:t>日历天</w:t>
      </w:r>
      <w:r>
        <w:rPr>
          <w:rFonts w:hint="eastAsia" w:ascii="仿宋" w:hAnsi="仿宋" w:eastAsia="仿宋"/>
          <w:color w:val="auto"/>
          <w:kern w:val="0"/>
          <w:sz w:val="28"/>
          <w:szCs w:val="28"/>
          <w:highlight w:val="none"/>
          <w:lang w:val="zh-CN" w:bidi="zh-CN"/>
        </w:rPr>
        <w:t>。</w:t>
      </w:r>
    </w:p>
    <w:p w14:paraId="4700F085">
      <w:pPr>
        <w:wordWrap w:val="0"/>
        <w:autoSpaceDE w:val="0"/>
        <w:autoSpaceDN w:val="0"/>
        <w:ind w:firstLine="560" w:firstLineChars="200"/>
        <w:rPr>
          <w:rFonts w:ascii="仿宋" w:hAnsi="仿宋" w:eastAsia="仿宋"/>
          <w:color w:val="auto"/>
          <w:kern w:val="0"/>
          <w:sz w:val="28"/>
          <w:szCs w:val="28"/>
          <w:highlight w:val="none"/>
          <w:lang w:val="zh-CN" w:bidi="zh-CN"/>
        </w:rPr>
      </w:pPr>
      <w:r>
        <w:rPr>
          <w:rFonts w:ascii="仿宋" w:hAnsi="仿宋" w:eastAsia="仿宋"/>
          <w:color w:val="auto"/>
          <w:kern w:val="0"/>
          <w:sz w:val="28"/>
          <w:szCs w:val="28"/>
          <w:highlight w:val="none"/>
          <w:lang w:bidi="zh-CN"/>
        </w:rPr>
        <w:t>2.</w:t>
      </w:r>
      <w:r>
        <w:rPr>
          <w:rFonts w:ascii="仿宋" w:hAnsi="仿宋" w:eastAsia="仿宋"/>
          <w:color w:val="auto"/>
          <w:kern w:val="0"/>
          <w:sz w:val="28"/>
          <w:szCs w:val="28"/>
          <w:highlight w:val="none"/>
          <w:lang w:val="zh-CN" w:bidi="zh-CN"/>
        </w:rPr>
        <w:t>乙方</w:t>
      </w:r>
      <w:r>
        <w:rPr>
          <w:rFonts w:hint="eastAsia" w:ascii="仿宋" w:hAnsi="仿宋" w:eastAsia="仿宋"/>
          <w:color w:val="auto"/>
          <w:kern w:val="0"/>
          <w:sz w:val="28"/>
          <w:szCs w:val="28"/>
          <w:highlight w:val="none"/>
          <w:lang w:val="zh-CN" w:bidi="zh-CN"/>
        </w:rPr>
        <w:t>接到甲方书面通知</w:t>
      </w:r>
      <w:r>
        <w:rPr>
          <w:rFonts w:ascii="仿宋" w:hAnsi="仿宋" w:eastAsia="仿宋"/>
          <w:color w:val="auto"/>
          <w:kern w:val="0"/>
          <w:sz w:val="28"/>
          <w:szCs w:val="28"/>
          <w:highlight w:val="none"/>
          <w:lang w:val="zh-CN" w:bidi="zh-CN"/>
        </w:rPr>
        <w:t>(开工令)后开工，自收到开工令</w:t>
      </w:r>
      <w:r>
        <w:rPr>
          <w:rFonts w:hint="eastAsia" w:ascii="仿宋" w:hAnsi="仿宋" w:eastAsia="仿宋"/>
          <w:color w:val="auto"/>
          <w:kern w:val="0"/>
          <w:sz w:val="28"/>
          <w:szCs w:val="28"/>
          <w:highlight w:val="none"/>
          <w:lang w:bidi="zh-CN"/>
        </w:rPr>
        <w:t>之日起</w:t>
      </w:r>
      <w:r>
        <w:rPr>
          <w:rFonts w:hint="eastAsia" w:ascii="仿宋" w:hAnsi="仿宋" w:eastAsia="仿宋"/>
          <w:color w:val="auto"/>
          <w:kern w:val="0"/>
          <w:sz w:val="28"/>
          <w:szCs w:val="28"/>
          <w:highlight w:val="none"/>
          <w:lang w:val="en-US" w:bidi="zh-CN"/>
        </w:rPr>
        <w:t>50</w:t>
      </w:r>
      <w:r>
        <w:rPr>
          <w:rFonts w:hint="eastAsia" w:ascii="仿宋" w:hAnsi="仿宋" w:eastAsia="仿宋"/>
          <w:color w:val="auto"/>
          <w:kern w:val="0"/>
          <w:sz w:val="28"/>
          <w:szCs w:val="28"/>
          <w:highlight w:val="none"/>
          <w:lang w:bidi="zh-CN"/>
        </w:rPr>
        <w:t>个</w:t>
      </w:r>
      <w:r>
        <w:rPr>
          <w:rFonts w:hint="eastAsia" w:ascii="仿宋" w:hAnsi="仿宋" w:eastAsia="仿宋"/>
          <w:color w:val="auto"/>
          <w:kern w:val="0"/>
          <w:sz w:val="28"/>
          <w:szCs w:val="28"/>
          <w:highlight w:val="none"/>
          <w:lang w:val="zh-CN" w:bidi="zh-CN"/>
        </w:rPr>
        <w:t>日历天内竣工。</w:t>
      </w:r>
    </w:p>
    <w:p w14:paraId="15A3C1A2">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val="zh-CN" w:bidi="zh-CN"/>
        </w:rPr>
        <w:t>三、工程质量要求</w:t>
      </w:r>
    </w:p>
    <w:p w14:paraId="41950FEA">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w:t>
      </w:r>
      <w:r>
        <w:rPr>
          <w:rFonts w:hint="eastAsia" w:ascii="仿宋" w:hAnsi="仿宋" w:eastAsia="仿宋"/>
          <w:color w:val="auto"/>
          <w:sz w:val="28"/>
          <w:szCs w:val="28"/>
          <w:highlight w:val="none"/>
        </w:rPr>
        <w:t xml:space="preserve"> 工程质量达到国家现行《建筑工程施工质量验收统一标准》（GB50300-2013）、《建筑与市政工程施工质量控制通用规范》（GB55032-2022）</w:t>
      </w:r>
      <w:r>
        <w:rPr>
          <w:rFonts w:ascii="仿宋" w:hAnsi="仿宋" w:eastAsia="仿宋"/>
          <w:color w:val="auto"/>
          <w:sz w:val="28"/>
          <w:szCs w:val="28"/>
          <w:highlight w:val="none"/>
        </w:rPr>
        <w:t>合格标准</w:t>
      </w:r>
      <w:r>
        <w:rPr>
          <w:rFonts w:hint="eastAsia" w:ascii="仿宋" w:hAnsi="仿宋" w:eastAsia="仿宋"/>
          <w:bCs/>
          <w:color w:val="auto"/>
          <w:sz w:val="28"/>
          <w:szCs w:val="28"/>
          <w:highlight w:val="none"/>
        </w:rPr>
        <w:t>，满足本项目工程量清单、项目特征、工程量清单编制说明</w:t>
      </w:r>
      <w:r>
        <w:rPr>
          <w:rFonts w:hint="eastAsia" w:ascii="仿宋" w:hAnsi="仿宋" w:eastAsia="仿宋"/>
          <w:color w:val="auto"/>
          <w:sz w:val="28"/>
          <w:szCs w:val="28"/>
          <w:highlight w:val="none"/>
        </w:rPr>
        <w:t>。</w:t>
      </w:r>
    </w:p>
    <w:p w14:paraId="0504F44B">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2.乙方所投材料及产品须满足国家标准要求，并且是全新的、未使用过的合格产品。</w:t>
      </w:r>
    </w:p>
    <w:p w14:paraId="1F5F710A">
      <w:pPr>
        <w:wordWrap w:val="0"/>
        <w:autoSpaceDE w:val="0"/>
        <w:autoSpaceDN w:val="0"/>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四、安全责任</w:t>
      </w:r>
    </w:p>
    <w:p w14:paraId="443F25D1">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1.工程在运输、安装、调试、施工等整个工程活动期间，在工程实施地点范围内，高空作业、道路运输等所有安全责任由乙方负责，并承担全部责任。</w:t>
      </w:r>
    </w:p>
    <w:p w14:paraId="5BC3F1A3">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2.乙方按有关规定，采取严格的安全措施，承担由于自身安全措施不力造成事故的赔偿等责任和因此</w:t>
      </w:r>
      <w:r>
        <w:rPr>
          <w:rFonts w:ascii="仿宋" w:hAnsi="仿宋" w:eastAsia="仿宋"/>
          <w:bCs/>
          <w:color w:val="auto"/>
          <w:sz w:val="28"/>
          <w:szCs w:val="28"/>
          <w:highlight w:val="none"/>
        </w:rPr>
        <w:t>发生</w:t>
      </w:r>
      <w:r>
        <w:rPr>
          <w:rFonts w:hint="eastAsia" w:ascii="仿宋" w:hAnsi="仿宋" w:eastAsia="仿宋"/>
          <w:bCs/>
          <w:color w:val="auto"/>
          <w:sz w:val="28"/>
          <w:szCs w:val="28"/>
          <w:highlight w:val="none"/>
        </w:rPr>
        <w:t>的费用，非乙方责任造成的伤亡事故，由责任方承担责任和有关费用。</w:t>
      </w:r>
    </w:p>
    <w:p w14:paraId="2016906B">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3.发生重大伤亡事故，乙方应按有关规定立即上报有关部门并通知甲方，同时按政府有关部门要求处理。甲方为乙方的抢救工作提供必要条件。因处理伤亡事故产生的费用由事故责任方承担。</w:t>
      </w:r>
    </w:p>
    <w:p w14:paraId="76BCFC5A">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4.乙方在动力设备、高电压线路、地下管道、密封防震车间、易燃易爆地段以及临时交通要道附近施工前，应向甲方提出安全保护措施，经监理和甲方批准后实施。</w:t>
      </w:r>
    </w:p>
    <w:p w14:paraId="5054716D">
      <w:pPr>
        <w:wordWrap w:val="0"/>
        <w:autoSpaceDE w:val="0"/>
        <w:autoSpaceDN w:val="0"/>
        <w:ind w:firstLine="560" w:firstLineChars="200"/>
        <w:rPr>
          <w:rFonts w:ascii="仿宋" w:hAnsi="仿宋" w:eastAsia="仿宋"/>
          <w:color w:val="auto"/>
          <w:sz w:val="28"/>
          <w:szCs w:val="28"/>
          <w:highlight w:val="none"/>
        </w:rPr>
      </w:pPr>
      <w:r>
        <w:rPr>
          <w:rFonts w:hint="eastAsia" w:ascii="仿宋" w:hAnsi="仿宋" w:eastAsia="仿宋"/>
          <w:bCs/>
          <w:color w:val="auto"/>
          <w:sz w:val="28"/>
          <w:szCs w:val="28"/>
          <w:highlight w:val="none"/>
        </w:rPr>
        <w:t>5.乙方应制定突发事件处理预案，施工现场发生事故，乙方应立即响应，如未及时赶到处理相关事故，所造成的全部损失、责任由乙方承担。因乙方原因发生安全事故的，乙方除应承担赔偿责任外，甲方有权解除本合同，甲方不予退还乙方履约保证金，并要求乙方按本合同总款百分之十支付违约金。</w:t>
      </w:r>
    </w:p>
    <w:p w14:paraId="1562ABA6">
      <w:pPr>
        <w:pStyle w:val="17"/>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五、材料及技术规范要求</w:t>
      </w:r>
    </w:p>
    <w:p w14:paraId="4BAE3E33">
      <w:pPr>
        <w:pStyle w:val="17"/>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1.</w:t>
      </w:r>
      <w:r>
        <w:rPr>
          <w:rFonts w:hint="eastAsia"/>
          <w:color w:val="auto"/>
          <w:highlight w:val="none"/>
        </w:rPr>
        <w:t xml:space="preserve"> </w:t>
      </w:r>
      <w:r>
        <w:rPr>
          <w:rFonts w:hint="eastAsia" w:ascii="仿宋" w:hAnsi="仿宋" w:eastAsia="仿宋"/>
          <w:bCs/>
          <w:color w:val="auto"/>
          <w:sz w:val="28"/>
          <w:szCs w:val="28"/>
          <w:highlight w:val="none"/>
        </w:rPr>
        <w:t>工程材料由乙方负责采购。乙方为本项目提供的所有材料应符合现行的强制性国家相关标准、行业标准或工程所在地的地方性标准，以及相应规范、规程等。</w:t>
      </w:r>
    </w:p>
    <w:p w14:paraId="7FFC0E2E">
      <w:pPr>
        <w:pStyle w:val="17"/>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2.</w:t>
      </w:r>
      <w:r>
        <w:rPr>
          <w:rFonts w:hint="eastAsia" w:ascii="仿宋" w:hAnsi="仿宋" w:eastAsia="仿宋"/>
          <w:bCs/>
          <w:color w:val="auto"/>
          <w:sz w:val="28"/>
          <w:szCs w:val="28"/>
          <w:highlight w:val="none"/>
        </w:rPr>
        <w:t>乙方</w:t>
      </w:r>
      <w:r>
        <w:rPr>
          <w:rFonts w:ascii="仿宋" w:hAnsi="仿宋" w:eastAsia="仿宋"/>
          <w:bCs/>
          <w:color w:val="auto"/>
          <w:sz w:val="28"/>
          <w:szCs w:val="28"/>
          <w:highlight w:val="none"/>
        </w:rPr>
        <w:t>为本项目提供的所有材料中属于《国家强制性产品认证目录》范围内产品的，均通过国家强制性产品认证并取得认证证书。</w:t>
      </w:r>
    </w:p>
    <w:p w14:paraId="3150E7CC">
      <w:pPr>
        <w:wordWrap w:val="0"/>
        <w:autoSpaceDE w:val="0"/>
        <w:autoSpaceDN w:val="0"/>
        <w:ind w:firstLine="560" w:firstLineChars="200"/>
        <w:rPr>
          <w:rFonts w:ascii="仿宋" w:hAnsi="仿宋" w:eastAsia="仿宋"/>
          <w:bCs/>
          <w:color w:val="auto"/>
          <w:sz w:val="28"/>
          <w:szCs w:val="28"/>
          <w:highlight w:val="none"/>
        </w:rPr>
      </w:pPr>
      <w:r>
        <w:rPr>
          <w:rFonts w:ascii="仿宋" w:hAnsi="仿宋" w:eastAsia="仿宋"/>
          <w:bCs/>
          <w:color w:val="auto"/>
          <w:sz w:val="28"/>
          <w:szCs w:val="28"/>
          <w:highlight w:val="none"/>
        </w:rPr>
        <w:t>3.</w:t>
      </w:r>
      <w:r>
        <w:rPr>
          <w:rFonts w:hint="eastAsia" w:ascii="仿宋" w:hAnsi="仿宋" w:eastAsia="仿宋"/>
          <w:bCs/>
          <w:color w:val="auto"/>
          <w:sz w:val="28"/>
          <w:szCs w:val="28"/>
          <w:highlight w:val="none"/>
        </w:rPr>
        <w:t>乙方</w:t>
      </w:r>
      <w:r>
        <w:rPr>
          <w:rFonts w:ascii="仿宋" w:hAnsi="仿宋" w:eastAsia="仿宋"/>
          <w:bCs/>
          <w:color w:val="auto"/>
          <w:sz w:val="28"/>
          <w:szCs w:val="28"/>
          <w:highlight w:val="none"/>
        </w:rPr>
        <w:t>为本项目提供的所有产品中属于节能产品政府采购品目清单中的政府强制采购产品的，均具有国家确定的认证机构出具的有效期内的节能产品认证证书。</w:t>
      </w:r>
    </w:p>
    <w:p w14:paraId="17778C82">
      <w:pPr>
        <w:wordWrap w:val="0"/>
        <w:autoSpaceDE w:val="0"/>
        <w:autoSpaceDN w:val="0"/>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rPr>
        <w:t>六、价格调整要求：</w:t>
      </w:r>
    </w:p>
    <w:p w14:paraId="6E99CDF6">
      <w:pPr>
        <w:wordWrap w:val="0"/>
        <w:autoSpaceDE w:val="0"/>
        <w:autoSpaceDN w:val="0"/>
        <w:ind w:firstLine="560" w:firstLineChars="200"/>
        <w:rPr>
          <w:rFonts w:ascii="仿宋" w:hAnsi="仿宋" w:eastAsia="仿宋"/>
          <w:b/>
          <w:color w:val="auto"/>
          <w:sz w:val="28"/>
          <w:szCs w:val="28"/>
          <w:highlight w:val="none"/>
        </w:rPr>
      </w:pPr>
      <w:r>
        <w:rPr>
          <w:rFonts w:hint="eastAsia" w:ascii="仿宋" w:hAnsi="仿宋" w:eastAsia="仿宋"/>
          <w:color w:val="auto"/>
          <w:sz w:val="28"/>
          <w:szCs w:val="28"/>
          <w:highlight w:val="none"/>
        </w:rPr>
        <w:t>1.本项目采用工程量清单综合单价法报价。</w:t>
      </w:r>
    </w:p>
    <w:p w14:paraId="4D9D7641">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本工程所有工程项目的工作内容应包含清单计价规范所列出的工作内容(但不仅限于此)，其完整的工作内容应为按照工程量清单、项目特征描述、工程量清单编制说明、现行的相关施工工艺、技术规范标准、施工质量验收标准和施工规范等要求实施完成该项工程并达到设计和验收规范要求的所有内容。</w:t>
      </w:r>
    </w:p>
    <w:p w14:paraId="432F6C34">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 xml:space="preserve">3.乙方应以工程量清单的项目特征描述为准；当施工中出现需求变更与工程量清单项目特征描述不一致时，甲乙方双方应按实际施工的项目特征依据合同约定重新确定综合单价。 </w:t>
      </w:r>
    </w:p>
    <w:p w14:paraId="53CAF0BB">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4.工程量清单中所列工程量仅作为乙方响应报价的共同基础，不能作为最终结算与支付的依据。最终结算以甲方与乙方共同确认的工程量为准。</w:t>
      </w:r>
    </w:p>
    <w:p w14:paraId="3734F7B0">
      <w:pPr>
        <w:tabs>
          <w:tab w:val="left" w:pos="7665"/>
        </w:tabs>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bidi="zh-CN"/>
        </w:rPr>
        <w:t>5.甲方保留取消工程量清单中某些项目的权利。乙方须充分考虑此风险，在总价措施项目清单计价表相应项目中综合考虑，成交后不得以此作为理由提出任何形式的索赔和调整造价。</w:t>
      </w:r>
    </w:p>
    <w:p w14:paraId="1EFAAD0D">
      <w:pPr>
        <w:pStyle w:val="2"/>
        <w:ind w:firstLine="560" w:firstLineChars="200"/>
        <w:rPr>
          <w:rFonts w:hint="eastAsia" w:ascii="仿宋" w:hAnsi="仿宋" w:eastAsia="仿宋" w:cs="Times New Roman"/>
          <w:bCs/>
          <w:color w:val="auto"/>
          <w:sz w:val="28"/>
          <w:szCs w:val="28"/>
          <w:highlight w:val="none"/>
          <w:lang w:bidi="zh-CN"/>
        </w:rPr>
      </w:pPr>
      <w:r>
        <w:rPr>
          <w:rFonts w:hint="eastAsia" w:ascii="仿宋" w:hAnsi="仿宋" w:eastAsia="仿宋" w:cs="Times New Roman"/>
          <w:bCs/>
          <w:color w:val="auto"/>
          <w:sz w:val="28"/>
          <w:szCs w:val="28"/>
          <w:highlight w:val="none"/>
          <w:lang w:bidi="zh-CN"/>
        </w:rPr>
        <w:t>6.工程清单中销项增值税额采购时按统一费率计取，结算时以施工单位实际费率计算。</w:t>
      </w:r>
    </w:p>
    <w:p w14:paraId="5401E2EB">
      <w:pPr>
        <w:wordWrap w:val="0"/>
        <w:autoSpaceDE w:val="0"/>
        <w:autoSpaceDN w:val="0"/>
        <w:ind w:firstLine="562" w:firstLineChars="200"/>
        <w:rPr>
          <w:rFonts w:ascii="仿宋" w:hAnsi="仿宋" w:eastAsia="仿宋"/>
          <w:b/>
          <w:bCs/>
          <w:color w:val="auto"/>
          <w:sz w:val="28"/>
          <w:szCs w:val="28"/>
          <w:highlight w:val="none"/>
          <w:lang w:bidi="zh-CN"/>
        </w:rPr>
      </w:pPr>
      <w:r>
        <w:rPr>
          <w:rFonts w:hint="eastAsia" w:ascii="仿宋" w:hAnsi="仿宋" w:eastAsia="仿宋"/>
          <w:b/>
          <w:bCs/>
          <w:color w:val="auto"/>
          <w:sz w:val="28"/>
          <w:szCs w:val="28"/>
          <w:highlight w:val="none"/>
          <w:lang w:bidi="zh-CN"/>
        </w:rPr>
        <w:t>七、漏项工程处理：</w:t>
      </w:r>
    </w:p>
    <w:p w14:paraId="4B0601C7">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color w:val="auto"/>
          <w:sz w:val="28"/>
          <w:szCs w:val="28"/>
          <w:highlight w:val="none"/>
          <w:lang w:val="zh-CN" w:bidi="zh-CN"/>
        </w:rPr>
        <w:t>施工过程中，发现工程量清单存在漏项工程的，该漏项工程作为本项目的组成部分，使用暂列金支付；暂列金已使用完毕的，甲方和乙方可以参照《中华人民共和国政府采购法》的规定签订不超过成交金额百分之十的补充合同。</w:t>
      </w:r>
    </w:p>
    <w:p w14:paraId="1929D25F">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关于变更估价的约定:</w:t>
      </w:r>
    </w:p>
    <w:p w14:paraId="4DF53DA7">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除合同另有规定外，工程变更、设计变更、工程量清单漏项、新增项目的单价确定，按下列方法进行：</w:t>
      </w:r>
    </w:p>
    <w:p w14:paraId="687E8F5B">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(1)工程量清单中已有适用于变更工程的价格，按工程量清单中已有的价格确定。</w:t>
      </w:r>
    </w:p>
    <w:p w14:paraId="715D8537">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(2)工程量清单中只有类似于变更工程的价格，可参照类似价格确定。</w:t>
      </w:r>
    </w:p>
    <w:p w14:paraId="247F03A6">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类似清单子目单价调整方式：</w:t>
      </w:r>
    </w:p>
    <w:p w14:paraId="1406E60D">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凡可以按面积、体积、重量、长度、厚度等比例关系或可换算成这种比例关系的，以最类似清单子目单价按相应比例关系折算；如材料不同仅换算材料价格差，不再调整其他费用，则可在合理的范围内参考类似子目的单价或合价由监理人与乙方协商并报甲方同意后确定变更后的单价或合价；</w:t>
      </w:r>
    </w:p>
    <w:p w14:paraId="5247B6FB">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sz w:val="28"/>
          <w:szCs w:val="28"/>
          <w:highlight w:val="none"/>
          <w:lang w:val="zh-CN" w:bidi="zh-CN"/>
        </w:rPr>
        <w:t>(3)工程量清单报价中没有适用或类似于变更工程的价格，则按《四川省建设工程工程量清单计价定额》（2</w:t>
      </w:r>
      <w:r>
        <w:rPr>
          <w:rFonts w:ascii="仿宋" w:hAnsi="仿宋" w:eastAsia="仿宋"/>
          <w:bCs/>
          <w:color w:val="auto"/>
          <w:sz w:val="28"/>
          <w:szCs w:val="28"/>
          <w:highlight w:val="none"/>
          <w:lang w:val="zh-CN" w:bidi="zh-CN"/>
        </w:rPr>
        <w:t>020版）</w:t>
      </w:r>
      <w:r>
        <w:rPr>
          <w:rFonts w:hint="eastAsia" w:ascii="仿宋" w:hAnsi="仿宋" w:eastAsia="仿宋"/>
          <w:bCs/>
          <w:color w:val="auto"/>
          <w:sz w:val="28"/>
          <w:szCs w:val="28"/>
          <w:highlight w:val="none"/>
          <w:lang w:val="zh-CN" w:bidi="zh-CN"/>
        </w:rPr>
        <w:t>及配套文件的相关规定计算出该项目的综合单价后，按本工程扣除暂列金后的招标控制价与扣除暂列金后的乙方总报价总价同比例下浮(主要材料除外)，确定为该项目或漏项的最终结算综合单价。</w:t>
      </w:r>
    </w:p>
    <w:p w14:paraId="28B64508">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bidi="zh-CN"/>
        </w:rPr>
        <w:t>八、</w:t>
      </w:r>
      <w:r>
        <w:rPr>
          <w:rFonts w:hint="eastAsia" w:ascii="仿宋" w:hAnsi="仿宋" w:eastAsia="仿宋"/>
          <w:b/>
          <w:color w:val="auto"/>
          <w:kern w:val="0"/>
          <w:sz w:val="28"/>
          <w:szCs w:val="28"/>
          <w:highlight w:val="none"/>
          <w:lang w:val="zh-CN" w:bidi="zh-CN"/>
        </w:rPr>
        <w:t>签约合同价与合同价格形式</w:t>
      </w:r>
    </w:p>
    <w:p w14:paraId="061ADF10">
      <w:pPr>
        <w:wordWrap w:val="0"/>
        <w:autoSpaceDE w:val="0"/>
        <w:autoSpaceDN w:val="0"/>
        <w:ind w:firstLine="560" w:firstLineChars="200"/>
        <w:rPr>
          <w:rFonts w:ascii="仿宋" w:hAnsi="仿宋" w:eastAsia="仿宋"/>
          <w:bCs/>
          <w:color w:val="auto"/>
          <w:sz w:val="28"/>
          <w:szCs w:val="28"/>
          <w:highlight w:val="none"/>
          <w:u w:val="single"/>
          <w:lang w:val="zh-CN" w:bidi="zh-CN"/>
        </w:rPr>
      </w:pPr>
      <w:r>
        <w:rPr>
          <w:rFonts w:hint="eastAsia" w:ascii="仿宋" w:hAnsi="仿宋" w:eastAsia="仿宋"/>
          <w:bCs/>
          <w:color w:val="auto"/>
          <w:sz w:val="28"/>
          <w:szCs w:val="28"/>
          <w:highlight w:val="none"/>
          <w:lang w:bidi="zh-CN"/>
        </w:rPr>
        <w:t>1.签约合同价为人民币(大写)：X</w:t>
      </w:r>
      <w:r>
        <w:rPr>
          <w:rFonts w:ascii="仿宋" w:hAnsi="仿宋" w:eastAsia="仿宋"/>
          <w:bCs/>
          <w:color w:val="auto"/>
          <w:sz w:val="28"/>
          <w:szCs w:val="28"/>
          <w:highlight w:val="none"/>
          <w:lang w:bidi="zh-CN"/>
        </w:rPr>
        <w:t>XXXXX</w:t>
      </w:r>
      <w:r>
        <w:rPr>
          <w:rFonts w:hint="eastAsia" w:ascii="仿宋" w:hAnsi="仿宋" w:eastAsia="仿宋"/>
          <w:bCs/>
          <w:color w:val="auto"/>
          <w:sz w:val="28"/>
          <w:szCs w:val="28"/>
          <w:highlight w:val="none"/>
          <w:u w:val="single"/>
          <w:lang w:bidi="zh-CN"/>
        </w:rPr>
        <w:t>元</w:t>
      </w:r>
      <w:r>
        <w:rPr>
          <w:rFonts w:hint="eastAsia" w:ascii="仿宋" w:hAnsi="仿宋" w:eastAsia="仿宋"/>
          <w:bCs/>
          <w:color w:val="auto"/>
          <w:sz w:val="28"/>
          <w:szCs w:val="28"/>
          <w:highlight w:val="none"/>
          <w:lang w:bidi="zh-CN"/>
        </w:rPr>
        <w:t>，即</w:t>
      </w:r>
      <w:r>
        <w:rPr>
          <w:rFonts w:ascii="Calibri" w:hAnsi="Calibri" w:eastAsia="仿宋" w:cs="Calibri"/>
          <w:bCs/>
          <w:color w:val="auto"/>
          <w:sz w:val="28"/>
          <w:szCs w:val="28"/>
          <w:highlight w:val="none"/>
          <w:lang w:bidi="zh-CN"/>
        </w:rPr>
        <w:t>¥</w:t>
      </w:r>
      <w:r>
        <w:rPr>
          <w:rFonts w:ascii="仿宋" w:hAnsi="仿宋" w:eastAsia="仿宋"/>
          <w:bCs/>
          <w:color w:val="auto"/>
          <w:sz w:val="28"/>
          <w:szCs w:val="28"/>
          <w:highlight w:val="none"/>
          <w:lang w:bidi="zh-CN"/>
        </w:rPr>
        <w:t xml:space="preserve"> </w:t>
      </w:r>
      <w:r>
        <w:rPr>
          <w:rFonts w:ascii="仿宋" w:hAnsi="仿宋" w:eastAsia="仿宋"/>
          <w:bCs/>
          <w:color w:val="auto"/>
          <w:sz w:val="28"/>
          <w:szCs w:val="28"/>
          <w:highlight w:val="none"/>
          <w:u w:val="single"/>
          <w:lang w:bidi="zh-CN"/>
        </w:rPr>
        <w:t>XXXXX</w:t>
      </w:r>
      <w:r>
        <w:rPr>
          <w:rFonts w:hint="eastAsia" w:ascii="仿宋" w:hAnsi="仿宋" w:eastAsia="仿宋"/>
          <w:bCs/>
          <w:color w:val="auto"/>
          <w:sz w:val="28"/>
          <w:szCs w:val="28"/>
          <w:highlight w:val="none"/>
          <w:lang w:bidi="zh-CN"/>
        </w:rPr>
        <w:t>元，最终结算价以甲方确认的第三方咨询机构出具的竣工结算审核报告为准。</w:t>
      </w:r>
    </w:p>
    <w:p w14:paraId="0AB64F6B">
      <w:pPr>
        <w:wordWrap w:val="0"/>
        <w:autoSpaceDE w:val="0"/>
        <w:autoSpaceDN w:val="0"/>
        <w:ind w:firstLine="560" w:firstLineChars="200"/>
        <w:rPr>
          <w:rFonts w:ascii="仿宋" w:hAnsi="仿宋" w:eastAsia="仿宋"/>
          <w:bCs/>
          <w:color w:val="auto"/>
          <w:sz w:val="28"/>
          <w:szCs w:val="28"/>
          <w:highlight w:val="none"/>
          <w:u w:val="single"/>
          <w:lang w:val="zh-CN" w:bidi="zh-CN"/>
        </w:rPr>
      </w:pPr>
      <w:r>
        <w:rPr>
          <w:rFonts w:hint="eastAsia" w:ascii="仿宋" w:hAnsi="仿宋" w:eastAsia="仿宋"/>
          <w:bCs/>
          <w:color w:val="auto"/>
          <w:sz w:val="28"/>
          <w:szCs w:val="28"/>
          <w:highlight w:val="none"/>
          <w:lang w:bidi="zh-CN"/>
        </w:rPr>
        <w:t>2.乙方账户信息：</w:t>
      </w:r>
    </w:p>
    <w:p w14:paraId="74BFE219">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公司名称：X</w:t>
      </w:r>
      <w:r>
        <w:rPr>
          <w:rFonts w:ascii="仿宋" w:hAnsi="仿宋" w:eastAsia="仿宋"/>
          <w:bCs/>
          <w:color w:val="auto"/>
          <w:sz w:val="28"/>
          <w:szCs w:val="28"/>
          <w:highlight w:val="none"/>
          <w:lang w:bidi="zh-CN"/>
        </w:rPr>
        <w:t>XXXX</w:t>
      </w:r>
      <w:r>
        <w:rPr>
          <w:rFonts w:hint="eastAsia" w:ascii="仿宋" w:hAnsi="仿宋" w:eastAsia="仿宋"/>
          <w:bCs/>
          <w:color w:val="auto"/>
          <w:sz w:val="28"/>
          <w:szCs w:val="28"/>
          <w:highlight w:val="none"/>
          <w:lang w:bidi="zh-CN"/>
        </w:rPr>
        <w:t>公司</w:t>
      </w:r>
    </w:p>
    <w:p w14:paraId="3A00E04C">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税</w:t>
      </w:r>
      <w:r>
        <w:rPr>
          <w:rFonts w:ascii="仿宋" w:hAnsi="仿宋" w:eastAsia="仿宋"/>
          <w:bCs/>
          <w:color w:val="auto"/>
          <w:sz w:val="28"/>
          <w:szCs w:val="28"/>
          <w:highlight w:val="none"/>
          <w:lang w:bidi="zh-CN"/>
        </w:rPr>
        <w:t xml:space="preserve">    </w:t>
      </w:r>
      <w:r>
        <w:rPr>
          <w:rFonts w:hint="eastAsia" w:ascii="仿宋" w:hAnsi="仿宋" w:eastAsia="仿宋"/>
          <w:bCs/>
          <w:color w:val="auto"/>
          <w:sz w:val="28"/>
          <w:szCs w:val="28"/>
          <w:highlight w:val="none"/>
          <w:lang w:bidi="zh-CN"/>
        </w:rPr>
        <w:t>号：</w:t>
      </w:r>
      <w:r>
        <w:rPr>
          <w:rFonts w:ascii="仿宋" w:hAnsi="仿宋" w:eastAsia="仿宋"/>
          <w:bCs/>
          <w:color w:val="auto"/>
          <w:sz w:val="28"/>
          <w:szCs w:val="28"/>
          <w:highlight w:val="none"/>
          <w:lang w:bidi="zh-CN"/>
        </w:rPr>
        <w:t>XXXXXX</w:t>
      </w:r>
    </w:p>
    <w:p w14:paraId="2AAA45AA">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公司地址：X</w:t>
      </w:r>
      <w:r>
        <w:rPr>
          <w:rFonts w:ascii="仿宋" w:hAnsi="仿宋" w:eastAsia="仿宋"/>
          <w:bCs/>
          <w:color w:val="auto"/>
          <w:sz w:val="28"/>
          <w:szCs w:val="28"/>
          <w:highlight w:val="none"/>
          <w:lang w:bidi="zh-CN"/>
        </w:rPr>
        <w:t>XXXXX</w:t>
      </w:r>
    </w:p>
    <w:p w14:paraId="3D1E827C">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电    话:</w:t>
      </w:r>
      <w:r>
        <w:rPr>
          <w:rFonts w:ascii="仿宋" w:hAnsi="仿宋" w:eastAsia="仿宋"/>
          <w:bCs/>
          <w:color w:val="auto"/>
          <w:sz w:val="28"/>
          <w:szCs w:val="28"/>
          <w:highlight w:val="none"/>
          <w:lang w:bidi="zh-CN"/>
        </w:rPr>
        <w:t xml:space="preserve"> XXXXXX</w:t>
      </w:r>
    </w:p>
    <w:p w14:paraId="37874E91">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开户银行：X</w:t>
      </w:r>
      <w:r>
        <w:rPr>
          <w:rFonts w:ascii="仿宋" w:hAnsi="仿宋" w:eastAsia="仿宋"/>
          <w:bCs/>
          <w:color w:val="auto"/>
          <w:sz w:val="28"/>
          <w:szCs w:val="28"/>
          <w:highlight w:val="none"/>
          <w:lang w:bidi="zh-CN"/>
        </w:rPr>
        <w:t>XXXXX</w:t>
      </w:r>
    </w:p>
    <w:p w14:paraId="757A00A4">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账    号：</w:t>
      </w:r>
      <w:r>
        <w:rPr>
          <w:rFonts w:ascii="仿宋" w:hAnsi="仿宋" w:eastAsia="仿宋"/>
          <w:bCs/>
          <w:color w:val="auto"/>
          <w:sz w:val="28"/>
          <w:szCs w:val="28"/>
          <w:highlight w:val="none"/>
          <w:lang w:bidi="zh-CN"/>
        </w:rPr>
        <w:t>XXXXXX</w:t>
      </w:r>
    </w:p>
    <w:p w14:paraId="5F0AD257">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乙方保证所提供的收款账户信息准确、真实，若因账户信息错误导致甲方无法付款或错误付款，责任由乙方自行承担。</w:t>
      </w:r>
    </w:p>
    <w:p w14:paraId="6C7C5F95">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3.</w:t>
      </w:r>
      <w:r>
        <w:rPr>
          <w:rFonts w:hint="eastAsia" w:ascii="仿宋" w:hAnsi="仿宋" w:eastAsia="仿宋"/>
          <w:bCs/>
          <w:color w:val="auto"/>
          <w:sz w:val="28"/>
          <w:szCs w:val="28"/>
          <w:highlight w:val="none"/>
          <w:lang w:val="zh-CN" w:bidi="zh-CN"/>
        </w:rPr>
        <w:t>合同价格形式：固定综合单价合同。</w:t>
      </w:r>
      <w:r>
        <w:rPr>
          <w:rFonts w:hint="eastAsia" w:ascii="仿宋" w:hAnsi="仿宋" w:eastAsia="仿宋"/>
          <w:bCs/>
          <w:color w:val="auto"/>
          <w:sz w:val="28"/>
          <w:szCs w:val="28"/>
          <w:highlight w:val="none"/>
          <w:lang w:bidi="zh-CN"/>
        </w:rPr>
        <w:t>其中：</w:t>
      </w:r>
    </w:p>
    <w:p w14:paraId="55227FCF">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val="zh-CN" w:bidi="zh-CN"/>
        </w:rPr>
        <w:t>(1)安全文明施工费人民币(大写)：</w:t>
      </w:r>
      <w:r>
        <w:rPr>
          <w:rFonts w:hint="eastAsia" w:ascii="仿宋" w:hAnsi="仿宋" w:eastAsia="仿宋"/>
          <w:color w:val="auto"/>
          <w:sz w:val="28"/>
          <w:szCs w:val="28"/>
          <w:highlight w:val="none"/>
          <w:u w:val="single"/>
        </w:rPr>
        <w:t>X</w:t>
      </w:r>
      <w:r>
        <w:rPr>
          <w:rFonts w:ascii="仿宋" w:hAnsi="仿宋" w:eastAsia="仿宋"/>
          <w:color w:val="auto"/>
          <w:sz w:val="28"/>
          <w:szCs w:val="28"/>
          <w:highlight w:val="none"/>
          <w:u w:val="single"/>
        </w:rPr>
        <w:t>XXXX</w:t>
      </w:r>
      <w:r>
        <w:rPr>
          <w:rFonts w:hint="eastAsia" w:ascii="仿宋" w:hAnsi="仿宋" w:eastAsia="仿宋"/>
          <w:bCs/>
          <w:color w:val="auto"/>
          <w:sz w:val="28"/>
          <w:szCs w:val="28"/>
          <w:highlight w:val="none"/>
          <w:lang w:bidi="zh-CN"/>
        </w:rPr>
        <w:t>，即</w:t>
      </w:r>
      <w:r>
        <w:rPr>
          <w:rFonts w:ascii="Calibri" w:hAnsi="Calibri" w:eastAsia="仿宋" w:cs="Calibri"/>
          <w:bCs/>
          <w:color w:val="auto"/>
          <w:sz w:val="28"/>
          <w:szCs w:val="28"/>
          <w:highlight w:val="none"/>
          <w:lang w:bidi="zh-CN"/>
        </w:rPr>
        <w:t>¥</w:t>
      </w:r>
      <w:r>
        <w:rPr>
          <w:rFonts w:ascii="仿宋" w:hAnsi="仿宋" w:eastAsia="仿宋"/>
          <w:bCs/>
          <w:color w:val="auto"/>
          <w:sz w:val="28"/>
          <w:szCs w:val="28"/>
          <w:highlight w:val="none"/>
          <w:lang w:bidi="zh-CN"/>
        </w:rPr>
        <w:t xml:space="preserve"> </w:t>
      </w:r>
      <w:r>
        <w:rPr>
          <w:rFonts w:ascii="仿宋" w:hAnsi="仿宋" w:eastAsia="仿宋"/>
          <w:bCs/>
          <w:color w:val="auto"/>
          <w:sz w:val="28"/>
          <w:szCs w:val="28"/>
          <w:highlight w:val="none"/>
          <w:u w:val="single"/>
          <w:lang w:bidi="zh-CN"/>
        </w:rPr>
        <w:t>XXXX</w:t>
      </w:r>
      <w:r>
        <w:rPr>
          <w:rFonts w:hint="eastAsia" w:ascii="仿宋" w:hAnsi="仿宋" w:eastAsia="仿宋"/>
          <w:bCs/>
          <w:color w:val="auto"/>
          <w:sz w:val="28"/>
          <w:szCs w:val="28"/>
          <w:highlight w:val="none"/>
          <w:lang w:bidi="zh-CN"/>
        </w:rPr>
        <w:t>元；</w:t>
      </w:r>
    </w:p>
    <w:p w14:paraId="2C361827">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val="zh-CN" w:bidi="zh-CN"/>
        </w:rPr>
        <w:t>(</w:t>
      </w:r>
      <w:r>
        <w:rPr>
          <w:rFonts w:hint="eastAsia" w:ascii="仿宋" w:hAnsi="仿宋" w:eastAsia="仿宋"/>
          <w:bCs/>
          <w:color w:val="auto"/>
          <w:sz w:val="28"/>
          <w:szCs w:val="28"/>
          <w:highlight w:val="none"/>
          <w:lang w:bidi="zh-CN"/>
        </w:rPr>
        <w:t>2</w:t>
      </w:r>
      <w:r>
        <w:rPr>
          <w:rFonts w:hint="eastAsia" w:ascii="仿宋" w:hAnsi="仿宋" w:eastAsia="仿宋"/>
          <w:bCs/>
          <w:color w:val="auto"/>
          <w:sz w:val="28"/>
          <w:szCs w:val="28"/>
          <w:highlight w:val="none"/>
          <w:lang w:val="zh-CN" w:bidi="zh-CN"/>
        </w:rPr>
        <w:t>)暂列金额人民币(大写)</w:t>
      </w:r>
      <w:r>
        <w:rPr>
          <w:rFonts w:hint="eastAsia" w:ascii="仿宋" w:hAnsi="仿宋" w:eastAsia="仿宋"/>
          <w:bCs/>
          <w:color w:val="auto"/>
          <w:sz w:val="28"/>
          <w:szCs w:val="28"/>
          <w:highlight w:val="none"/>
          <w:lang w:bidi="zh-CN"/>
        </w:rPr>
        <w:t>：</w:t>
      </w:r>
      <w:r>
        <w:rPr>
          <w:rFonts w:hint="eastAsia" w:ascii="仿宋" w:hAnsi="仿宋" w:eastAsia="仿宋"/>
          <w:bCs/>
          <w:color w:val="auto"/>
          <w:sz w:val="28"/>
          <w:szCs w:val="28"/>
          <w:highlight w:val="none"/>
          <w:u w:val="single"/>
          <w:lang w:bidi="zh-CN"/>
        </w:rPr>
        <w:t>X</w:t>
      </w:r>
      <w:r>
        <w:rPr>
          <w:rFonts w:ascii="仿宋" w:hAnsi="仿宋" w:eastAsia="仿宋"/>
          <w:bCs/>
          <w:color w:val="auto"/>
          <w:sz w:val="28"/>
          <w:szCs w:val="28"/>
          <w:highlight w:val="none"/>
          <w:u w:val="single"/>
          <w:lang w:bidi="zh-CN"/>
        </w:rPr>
        <w:t>XXXX</w:t>
      </w:r>
      <w:r>
        <w:rPr>
          <w:rFonts w:hint="eastAsia" w:ascii="仿宋" w:hAnsi="仿宋" w:eastAsia="仿宋"/>
          <w:bCs/>
          <w:color w:val="auto"/>
          <w:sz w:val="28"/>
          <w:szCs w:val="28"/>
          <w:highlight w:val="none"/>
          <w:lang w:bidi="zh-CN"/>
        </w:rPr>
        <w:t>，即</w:t>
      </w:r>
      <w:r>
        <w:rPr>
          <w:rFonts w:ascii="Calibri" w:hAnsi="Calibri" w:eastAsia="仿宋" w:cs="Calibri"/>
          <w:bCs/>
          <w:color w:val="auto"/>
          <w:sz w:val="28"/>
          <w:szCs w:val="28"/>
          <w:highlight w:val="none"/>
          <w:lang w:bidi="zh-CN"/>
        </w:rPr>
        <w:t>¥</w:t>
      </w:r>
      <w:r>
        <w:rPr>
          <w:rFonts w:ascii="仿宋" w:hAnsi="仿宋" w:eastAsia="仿宋"/>
          <w:bCs/>
          <w:color w:val="auto"/>
          <w:sz w:val="28"/>
          <w:szCs w:val="28"/>
          <w:highlight w:val="none"/>
          <w:lang w:bidi="zh-CN"/>
        </w:rPr>
        <w:t xml:space="preserve"> </w:t>
      </w:r>
      <w:r>
        <w:rPr>
          <w:rFonts w:ascii="仿宋" w:hAnsi="仿宋" w:eastAsia="仿宋"/>
          <w:color w:val="auto"/>
          <w:sz w:val="28"/>
          <w:szCs w:val="28"/>
          <w:highlight w:val="none"/>
          <w:u w:val="single"/>
        </w:rPr>
        <w:t>XXXX</w:t>
      </w:r>
      <w:r>
        <w:rPr>
          <w:rFonts w:hint="eastAsia" w:ascii="仿宋" w:hAnsi="仿宋" w:eastAsia="仿宋"/>
          <w:bCs/>
          <w:color w:val="auto"/>
          <w:sz w:val="28"/>
          <w:szCs w:val="28"/>
          <w:highlight w:val="none"/>
          <w:lang w:bidi="zh-CN"/>
        </w:rPr>
        <w:t>元；</w:t>
      </w:r>
    </w:p>
    <w:p w14:paraId="01C2A7DD">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val="zh-CN" w:bidi="zh-CN"/>
        </w:rPr>
        <w:t>(</w:t>
      </w:r>
      <w:r>
        <w:rPr>
          <w:rFonts w:hint="eastAsia" w:ascii="仿宋" w:hAnsi="仿宋" w:eastAsia="仿宋"/>
          <w:bCs/>
          <w:color w:val="auto"/>
          <w:sz w:val="28"/>
          <w:szCs w:val="28"/>
          <w:highlight w:val="none"/>
          <w:lang w:bidi="zh-CN"/>
        </w:rPr>
        <w:t>3</w:t>
      </w:r>
      <w:r>
        <w:rPr>
          <w:rFonts w:hint="eastAsia" w:ascii="仿宋" w:hAnsi="仿宋" w:eastAsia="仿宋"/>
          <w:bCs/>
          <w:color w:val="auto"/>
          <w:sz w:val="28"/>
          <w:szCs w:val="28"/>
          <w:highlight w:val="none"/>
          <w:lang w:val="zh-CN" w:bidi="zh-CN"/>
        </w:rPr>
        <w:t>)</w:t>
      </w:r>
      <w:r>
        <w:rPr>
          <w:rFonts w:hint="eastAsia" w:ascii="仿宋" w:hAnsi="仿宋" w:eastAsia="仿宋"/>
          <w:bCs/>
          <w:color w:val="auto"/>
          <w:sz w:val="28"/>
          <w:szCs w:val="28"/>
          <w:highlight w:val="none"/>
          <w:lang w:bidi="zh-CN"/>
        </w:rPr>
        <w:t>规费人民币(大写)：</w:t>
      </w:r>
      <w:r>
        <w:rPr>
          <w:rFonts w:hint="eastAsia" w:ascii="仿宋" w:hAnsi="仿宋" w:eastAsia="仿宋"/>
          <w:bCs/>
          <w:color w:val="auto"/>
          <w:sz w:val="28"/>
          <w:szCs w:val="28"/>
          <w:highlight w:val="none"/>
          <w:u w:val="single"/>
          <w:lang w:bidi="zh-CN"/>
        </w:rPr>
        <w:t>X</w:t>
      </w:r>
      <w:r>
        <w:rPr>
          <w:rFonts w:ascii="仿宋" w:hAnsi="仿宋" w:eastAsia="仿宋"/>
          <w:bCs/>
          <w:color w:val="auto"/>
          <w:sz w:val="28"/>
          <w:szCs w:val="28"/>
          <w:highlight w:val="none"/>
          <w:u w:val="single"/>
          <w:lang w:bidi="zh-CN"/>
        </w:rPr>
        <w:t>XXXXX</w:t>
      </w:r>
      <w:r>
        <w:rPr>
          <w:rFonts w:hint="eastAsia" w:ascii="仿宋" w:hAnsi="仿宋" w:eastAsia="仿宋"/>
          <w:bCs/>
          <w:color w:val="auto"/>
          <w:sz w:val="28"/>
          <w:szCs w:val="28"/>
          <w:highlight w:val="none"/>
          <w:lang w:bidi="zh-CN"/>
        </w:rPr>
        <w:t>，即</w:t>
      </w:r>
      <w:r>
        <w:rPr>
          <w:rFonts w:ascii="Calibri" w:hAnsi="Calibri" w:eastAsia="仿宋" w:cs="Calibri"/>
          <w:bCs/>
          <w:color w:val="auto"/>
          <w:sz w:val="28"/>
          <w:szCs w:val="28"/>
          <w:highlight w:val="none"/>
          <w:lang w:bidi="zh-CN"/>
        </w:rPr>
        <w:t>¥</w:t>
      </w:r>
      <w:r>
        <w:rPr>
          <w:rFonts w:ascii="仿宋" w:hAnsi="仿宋" w:eastAsia="仿宋"/>
          <w:bCs/>
          <w:color w:val="auto"/>
          <w:sz w:val="28"/>
          <w:szCs w:val="28"/>
          <w:highlight w:val="none"/>
          <w:lang w:bidi="zh-CN"/>
        </w:rPr>
        <w:t xml:space="preserve"> </w:t>
      </w:r>
      <w:r>
        <w:rPr>
          <w:rFonts w:ascii="仿宋" w:hAnsi="仿宋" w:eastAsia="仿宋"/>
          <w:color w:val="auto"/>
          <w:sz w:val="28"/>
          <w:szCs w:val="28"/>
          <w:highlight w:val="none"/>
          <w:u w:val="single"/>
        </w:rPr>
        <w:t>XXXXX</w:t>
      </w:r>
      <w:r>
        <w:rPr>
          <w:rFonts w:hint="eastAsia" w:ascii="仿宋" w:hAnsi="仿宋" w:eastAsia="仿宋"/>
          <w:bCs/>
          <w:color w:val="auto"/>
          <w:sz w:val="28"/>
          <w:szCs w:val="28"/>
          <w:highlight w:val="none"/>
          <w:lang w:bidi="zh-CN"/>
        </w:rPr>
        <w:t>元；</w:t>
      </w:r>
    </w:p>
    <w:p w14:paraId="58D9F8DC">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bidi="zh-CN"/>
        </w:rPr>
        <w:t xml:space="preserve">(4)专业工程暂估价金额人民币(大写)： </w:t>
      </w:r>
      <w:r>
        <w:rPr>
          <w:rFonts w:ascii="仿宋" w:hAnsi="仿宋" w:eastAsia="仿宋"/>
          <w:bCs/>
          <w:color w:val="auto"/>
          <w:sz w:val="28"/>
          <w:szCs w:val="28"/>
          <w:highlight w:val="none"/>
          <w:lang w:bidi="zh-CN"/>
        </w:rPr>
        <w:t>/</w:t>
      </w:r>
      <w:r>
        <w:rPr>
          <w:rFonts w:hint="eastAsia" w:ascii="仿宋" w:hAnsi="仿宋" w:eastAsia="仿宋"/>
          <w:bCs/>
          <w:color w:val="auto"/>
          <w:sz w:val="28"/>
          <w:szCs w:val="28"/>
          <w:highlight w:val="none"/>
          <w:lang w:bidi="zh-CN"/>
        </w:rPr>
        <w:t xml:space="preserve">   元整，即</w:t>
      </w:r>
      <w:r>
        <w:rPr>
          <w:rFonts w:ascii="Calibri" w:hAnsi="Calibri" w:eastAsia="仿宋" w:cs="Calibri"/>
          <w:bCs/>
          <w:color w:val="auto"/>
          <w:sz w:val="28"/>
          <w:szCs w:val="28"/>
          <w:highlight w:val="none"/>
          <w:lang w:bidi="zh-CN"/>
        </w:rPr>
        <w:t>¥</w:t>
      </w:r>
      <w:r>
        <w:rPr>
          <w:rFonts w:hint="eastAsia" w:ascii="仿宋" w:hAnsi="仿宋" w:eastAsia="仿宋"/>
          <w:bCs/>
          <w:color w:val="auto"/>
          <w:sz w:val="28"/>
          <w:szCs w:val="28"/>
          <w:highlight w:val="none"/>
          <w:lang w:bidi="zh-CN"/>
        </w:rPr>
        <w:t xml:space="preserve">    </w:t>
      </w:r>
      <w:r>
        <w:rPr>
          <w:rFonts w:ascii="仿宋" w:hAnsi="仿宋" w:eastAsia="仿宋"/>
          <w:bCs/>
          <w:color w:val="auto"/>
          <w:sz w:val="28"/>
          <w:szCs w:val="28"/>
          <w:highlight w:val="none"/>
          <w:lang w:bidi="zh-CN"/>
        </w:rPr>
        <w:t>/</w:t>
      </w:r>
      <w:r>
        <w:rPr>
          <w:rFonts w:hint="eastAsia" w:ascii="仿宋" w:hAnsi="仿宋" w:eastAsia="仿宋"/>
          <w:bCs/>
          <w:color w:val="auto"/>
          <w:sz w:val="28"/>
          <w:szCs w:val="28"/>
          <w:highlight w:val="none"/>
          <w:lang w:bidi="zh-CN"/>
        </w:rPr>
        <w:t xml:space="preserve"> 元整。</w:t>
      </w:r>
    </w:p>
    <w:p w14:paraId="589BC1BF">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bidi="zh-CN"/>
        </w:rPr>
        <w:t>4</w:t>
      </w:r>
      <w:r>
        <w:rPr>
          <w:rFonts w:hint="eastAsia" w:ascii="仿宋" w:hAnsi="仿宋" w:eastAsia="仿宋"/>
          <w:color w:val="auto"/>
          <w:sz w:val="28"/>
          <w:szCs w:val="28"/>
          <w:highlight w:val="none"/>
          <w:lang w:val="zh-CN" w:bidi="zh-CN"/>
        </w:rPr>
        <w:t>.</w:t>
      </w:r>
      <w:r>
        <w:rPr>
          <w:rFonts w:ascii="仿宋" w:hAnsi="仿宋" w:eastAsia="仿宋"/>
          <w:color w:val="auto"/>
          <w:sz w:val="28"/>
          <w:szCs w:val="28"/>
          <w:highlight w:val="none"/>
          <w:lang w:val="zh-CN" w:bidi="zh-CN"/>
        </w:rPr>
        <w:t>工程款分两次银行转账支付。</w:t>
      </w:r>
    </w:p>
    <w:p w14:paraId="7F19568F">
      <w:pPr>
        <w:wordWrap w:val="0"/>
        <w:autoSpaceDE w:val="0"/>
        <w:autoSpaceDN w:val="0"/>
        <w:ind w:firstLine="562" w:firstLineChars="200"/>
        <w:rPr>
          <w:rFonts w:ascii="仿宋" w:hAnsi="仿宋" w:eastAsia="仿宋"/>
          <w:color w:val="auto"/>
          <w:sz w:val="28"/>
          <w:szCs w:val="28"/>
          <w:highlight w:val="none"/>
          <w:lang w:val="zh-CN" w:bidi="zh-CN"/>
        </w:rPr>
      </w:pPr>
      <w:r>
        <w:rPr>
          <w:rFonts w:hint="eastAsia" w:ascii="仿宋" w:hAnsi="仿宋" w:eastAsia="仿宋"/>
          <w:b/>
          <w:color w:val="auto"/>
          <w:sz w:val="28"/>
          <w:szCs w:val="28"/>
          <w:highlight w:val="none"/>
          <w:lang w:val="zh-CN" w:bidi="zh-CN"/>
        </w:rPr>
        <w:t>第一次支付</w:t>
      </w:r>
      <w:r>
        <w:rPr>
          <w:rFonts w:hint="eastAsia" w:ascii="仿宋" w:hAnsi="仿宋" w:eastAsia="仿宋"/>
          <w:color w:val="auto"/>
          <w:sz w:val="28"/>
          <w:szCs w:val="28"/>
          <w:highlight w:val="none"/>
          <w:lang w:val="zh-CN" w:bidi="zh-CN"/>
        </w:rPr>
        <w:t>：</w:t>
      </w:r>
      <w:r>
        <w:rPr>
          <w:rFonts w:hint="eastAsia" w:ascii="仿宋" w:hAnsi="仿宋" w:eastAsia="仿宋"/>
          <w:color w:val="auto"/>
          <w:sz w:val="28"/>
          <w:szCs w:val="28"/>
          <w:highlight w:val="none"/>
          <w:lang w:bidi="zh-CN"/>
        </w:rPr>
        <w:t>本</w:t>
      </w:r>
      <w:r>
        <w:rPr>
          <w:rFonts w:hint="eastAsia" w:ascii="仿宋" w:hAnsi="仿宋" w:eastAsia="仿宋"/>
          <w:color w:val="auto"/>
          <w:sz w:val="28"/>
          <w:szCs w:val="28"/>
          <w:highlight w:val="none"/>
          <w:lang w:val="zh-CN" w:bidi="zh-CN"/>
        </w:rPr>
        <w:t>工程合同签订之</w:t>
      </w:r>
      <w:r>
        <w:rPr>
          <w:rFonts w:hint="eastAsia" w:ascii="仿宋" w:hAnsi="仿宋" w:eastAsia="仿宋"/>
          <w:color w:val="auto"/>
          <w:sz w:val="28"/>
          <w:szCs w:val="28"/>
          <w:highlight w:val="none"/>
          <w:lang w:bidi="zh-CN"/>
        </w:rPr>
        <w:t>后</w:t>
      </w:r>
      <w:r>
        <w:rPr>
          <w:rFonts w:hint="eastAsia" w:ascii="仿宋" w:hAnsi="仿宋" w:eastAsia="仿宋"/>
          <w:color w:val="auto"/>
          <w:sz w:val="28"/>
          <w:szCs w:val="28"/>
          <w:highlight w:val="none"/>
          <w:lang w:val="zh-CN" w:bidi="zh-CN"/>
        </w:rPr>
        <w:t>，</w:t>
      </w:r>
      <w:r>
        <w:rPr>
          <w:rFonts w:hint="eastAsia" w:ascii="仿宋" w:hAnsi="仿宋" w:eastAsia="仿宋"/>
          <w:color w:val="auto"/>
          <w:sz w:val="28"/>
          <w:szCs w:val="28"/>
          <w:highlight w:val="none"/>
          <w:lang w:bidi="zh-CN"/>
        </w:rPr>
        <w:t>甲方</w:t>
      </w:r>
      <w:r>
        <w:rPr>
          <w:rFonts w:hint="eastAsia" w:ascii="仿宋" w:hAnsi="仿宋" w:eastAsia="仿宋"/>
          <w:color w:val="auto"/>
          <w:sz w:val="28"/>
          <w:szCs w:val="28"/>
          <w:highlight w:val="none"/>
          <w:lang w:val="zh-CN" w:bidi="zh-CN"/>
        </w:rPr>
        <w:t>自收到乙方出具合法有效完整的等额完税发票之日起</w:t>
      </w:r>
      <w:r>
        <w:rPr>
          <w:rFonts w:ascii="仿宋" w:hAnsi="仿宋" w:eastAsia="仿宋"/>
          <w:color w:val="auto"/>
          <w:sz w:val="28"/>
          <w:szCs w:val="28"/>
          <w:highlight w:val="none"/>
          <w:lang w:val="zh-CN" w:bidi="zh-CN"/>
        </w:rPr>
        <w:t xml:space="preserve"> 10个工作日内</w:t>
      </w:r>
      <w:r>
        <w:rPr>
          <w:rFonts w:hint="eastAsia" w:ascii="仿宋" w:hAnsi="仿宋" w:eastAsia="仿宋"/>
          <w:color w:val="auto"/>
          <w:sz w:val="28"/>
          <w:szCs w:val="28"/>
          <w:highlight w:val="none"/>
          <w:lang w:bidi="zh-CN"/>
        </w:rPr>
        <w:t>向乙方</w:t>
      </w:r>
      <w:r>
        <w:rPr>
          <w:rFonts w:ascii="仿宋" w:hAnsi="仿宋" w:eastAsia="仿宋"/>
          <w:color w:val="auto"/>
          <w:sz w:val="28"/>
          <w:szCs w:val="28"/>
          <w:highlight w:val="none"/>
          <w:lang w:val="zh-CN" w:bidi="zh-CN"/>
        </w:rPr>
        <w:t>支付（合同价减暂列金）40%的合同款。</w:t>
      </w:r>
    </w:p>
    <w:p w14:paraId="34B151B8">
      <w:pPr>
        <w:wordWrap w:val="0"/>
        <w:autoSpaceDE w:val="0"/>
        <w:autoSpaceDN w:val="0"/>
        <w:ind w:firstLine="562" w:firstLineChars="200"/>
        <w:rPr>
          <w:rFonts w:ascii="仿宋" w:hAnsi="仿宋" w:eastAsia="仿宋"/>
          <w:color w:val="auto"/>
          <w:sz w:val="28"/>
          <w:szCs w:val="28"/>
          <w:highlight w:val="none"/>
          <w:lang w:val="zh-CN" w:bidi="zh-CN"/>
        </w:rPr>
      </w:pPr>
      <w:r>
        <w:rPr>
          <w:rFonts w:hint="eastAsia" w:ascii="仿宋" w:hAnsi="仿宋" w:eastAsia="仿宋"/>
          <w:b/>
          <w:color w:val="auto"/>
          <w:sz w:val="28"/>
          <w:szCs w:val="28"/>
          <w:highlight w:val="none"/>
          <w:lang w:val="zh-CN" w:bidi="zh-CN"/>
        </w:rPr>
        <w:t>第二次支付</w:t>
      </w:r>
      <w:r>
        <w:rPr>
          <w:rFonts w:hint="eastAsia" w:ascii="仿宋" w:hAnsi="仿宋" w:eastAsia="仿宋"/>
          <w:color w:val="auto"/>
          <w:sz w:val="28"/>
          <w:szCs w:val="28"/>
          <w:highlight w:val="none"/>
          <w:lang w:val="zh-CN" w:bidi="zh-CN"/>
        </w:rPr>
        <w:t>：工程</w:t>
      </w:r>
      <w:r>
        <w:rPr>
          <w:rFonts w:hint="eastAsia" w:ascii="仿宋" w:hAnsi="仿宋" w:eastAsia="仿宋"/>
          <w:color w:val="auto"/>
          <w:sz w:val="28"/>
          <w:szCs w:val="28"/>
          <w:highlight w:val="none"/>
          <w:lang w:bidi="zh-CN"/>
        </w:rPr>
        <w:t>竣工且经甲方</w:t>
      </w:r>
      <w:r>
        <w:rPr>
          <w:rFonts w:hint="eastAsia" w:ascii="仿宋" w:hAnsi="仿宋" w:eastAsia="仿宋"/>
          <w:color w:val="auto"/>
          <w:sz w:val="28"/>
          <w:szCs w:val="28"/>
          <w:highlight w:val="none"/>
          <w:lang w:val="zh-CN" w:bidi="zh-CN"/>
        </w:rPr>
        <w:t>验收合格后，乙方将结算资料整理后提交甲方，甲方及乙方双方共同确认工程结算价，最终以甲方确认的第三方审核机构出具的竣工结算审核报告为准。</w:t>
      </w:r>
      <w:r>
        <w:rPr>
          <w:rFonts w:hint="eastAsia" w:ascii="仿宋" w:hAnsi="仿宋" w:eastAsia="仿宋"/>
          <w:color w:val="auto"/>
          <w:sz w:val="28"/>
          <w:szCs w:val="28"/>
          <w:highlight w:val="none"/>
          <w:lang w:bidi="zh-CN"/>
        </w:rPr>
        <w:t>甲方自收到</w:t>
      </w:r>
      <w:r>
        <w:rPr>
          <w:rFonts w:hint="eastAsia" w:ascii="仿宋" w:hAnsi="仿宋" w:eastAsia="仿宋"/>
          <w:color w:val="auto"/>
          <w:sz w:val="28"/>
          <w:szCs w:val="28"/>
          <w:highlight w:val="none"/>
          <w:lang w:val="zh-CN" w:bidi="zh-CN"/>
        </w:rPr>
        <w:t>乙方提供有效增值税发票及请款报告后</w:t>
      </w:r>
      <w:r>
        <w:rPr>
          <w:rFonts w:ascii="仿宋" w:hAnsi="仿宋" w:eastAsia="仿宋"/>
          <w:color w:val="auto"/>
          <w:sz w:val="28"/>
          <w:szCs w:val="28"/>
          <w:highlight w:val="none"/>
          <w:lang w:val="zh-CN" w:bidi="zh-CN"/>
        </w:rPr>
        <w:t>10个工作日内，支付至结算价的100%。</w:t>
      </w:r>
    </w:p>
    <w:p w14:paraId="5ACB4584">
      <w:pPr>
        <w:wordWrap w:val="0"/>
        <w:autoSpaceDE w:val="0"/>
        <w:autoSpaceDN w:val="0"/>
        <w:ind w:firstLine="560" w:firstLineChars="200"/>
        <w:rPr>
          <w:rFonts w:ascii="仿宋" w:hAnsi="仿宋" w:eastAsia="仿宋"/>
          <w:color w:val="auto"/>
          <w:sz w:val="28"/>
          <w:szCs w:val="28"/>
          <w:highlight w:val="none"/>
          <w:lang w:val="zh-CN" w:bidi="zh-CN"/>
        </w:rPr>
      </w:pPr>
      <w:r>
        <w:rPr>
          <w:rFonts w:ascii="仿宋" w:hAnsi="仿宋" w:eastAsia="仿宋"/>
          <w:color w:val="auto"/>
          <w:sz w:val="28"/>
          <w:szCs w:val="28"/>
          <w:highlight w:val="none"/>
          <w:lang w:val="zh-CN" w:bidi="zh-CN"/>
        </w:rPr>
        <w:t>5.</w:t>
      </w:r>
      <w:r>
        <w:rPr>
          <w:rFonts w:ascii="仿宋" w:hAnsi="仿宋" w:eastAsia="仿宋"/>
          <w:color w:val="auto"/>
          <w:sz w:val="28"/>
          <w:szCs w:val="28"/>
          <w:highlight w:val="none"/>
          <w:lang w:bidi="zh-CN"/>
        </w:rPr>
        <w:t>乙方</w:t>
      </w:r>
      <w:r>
        <w:rPr>
          <w:rFonts w:ascii="仿宋" w:hAnsi="仿宋" w:eastAsia="仿宋"/>
          <w:color w:val="auto"/>
          <w:sz w:val="28"/>
          <w:szCs w:val="28"/>
          <w:highlight w:val="none"/>
          <w:lang w:val="zh-CN" w:bidi="zh-CN"/>
        </w:rPr>
        <w:t>应自行</w:t>
      </w:r>
      <w:r>
        <w:rPr>
          <w:rFonts w:hint="eastAsia" w:ascii="仿宋" w:hAnsi="仿宋" w:eastAsia="仿宋"/>
          <w:color w:val="auto"/>
          <w:sz w:val="28"/>
          <w:szCs w:val="28"/>
          <w:highlight w:val="none"/>
          <w:lang w:val="zh-CN" w:bidi="zh-CN"/>
        </w:rPr>
        <w:t>支</w:t>
      </w:r>
      <w:r>
        <w:rPr>
          <w:rFonts w:ascii="仿宋" w:hAnsi="仿宋" w:eastAsia="仿宋"/>
          <w:color w:val="auto"/>
          <w:sz w:val="28"/>
          <w:szCs w:val="28"/>
          <w:highlight w:val="none"/>
          <w:lang w:val="zh-CN" w:bidi="zh-CN"/>
        </w:rPr>
        <w:t>付工人工资和材料款，</w:t>
      </w:r>
      <w:r>
        <w:rPr>
          <w:rFonts w:hint="eastAsia" w:ascii="仿宋" w:hAnsi="仿宋" w:eastAsia="仿宋"/>
          <w:color w:val="auto"/>
          <w:sz w:val="28"/>
          <w:szCs w:val="28"/>
          <w:highlight w:val="none"/>
          <w:lang w:bidi="zh-CN"/>
        </w:rPr>
        <w:t>甲方</w:t>
      </w:r>
      <w:r>
        <w:rPr>
          <w:rFonts w:ascii="仿宋" w:hAnsi="仿宋" w:eastAsia="仿宋"/>
          <w:color w:val="auto"/>
          <w:sz w:val="28"/>
          <w:szCs w:val="28"/>
          <w:highlight w:val="none"/>
          <w:lang w:val="zh-CN" w:bidi="zh-CN"/>
        </w:rPr>
        <w:t>不承担由于</w:t>
      </w:r>
      <w:r>
        <w:rPr>
          <w:rFonts w:hint="eastAsia" w:ascii="仿宋" w:hAnsi="仿宋" w:eastAsia="仿宋"/>
          <w:color w:val="auto"/>
          <w:sz w:val="28"/>
          <w:szCs w:val="28"/>
          <w:highlight w:val="none"/>
          <w:lang w:bidi="zh-CN"/>
        </w:rPr>
        <w:t>乙方</w:t>
      </w:r>
      <w:r>
        <w:rPr>
          <w:rFonts w:ascii="仿宋" w:hAnsi="仿宋" w:eastAsia="仿宋"/>
          <w:color w:val="auto"/>
          <w:sz w:val="28"/>
          <w:szCs w:val="28"/>
          <w:highlight w:val="none"/>
          <w:lang w:val="zh-CN" w:bidi="zh-CN"/>
        </w:rPr>
        <w:t>未</w:t>
      </w:r>
      <w:r>
        <w:rPr>
          <w:rFonts w:hint="eastAsia" w:ascii="仿宋" w:hAnsi="仿宋" w:eastAsia="仿宋"/>
          <w:color w:val="auto"/>
          <w:sz w:val="28"/>
          <w:szCs w:val="28"/>
          <w:highlight w:val="none"/>
          <w:lang w:bidi="zh-CN"/>
        </w:rPr>
        <w:t>支</w:t>
      </w:r>
      <w:r>
        <w:rPr>
          <w:rFonts w:ascii="仿宋" w:hAnsi="仿宋" w:eastAsia="仿宋"/>
          <w:color w:val="auto"/>
          <w:sz w:val="28"/>
          <w:szCs w:val="28"/>
          <w:highlight w:val="none"/>
          <w:lang w:val="zh-CN" w:bidi="zh-CN"/>
        </w:rPr>
        <w:t>付工人工资或材料款引起的一切法律责任和纠纷。</w:t>
      </w:r>
    </w:p>
    <w:p w14:paraId="7E78EBD0">
      <w:pPr>
        <w:wordWrap w:val="0"/>
        <w:autoSpaceDE w:val="0"/>
        <w:autoSpaceDN w:val="0"/>
        <w:ind w:firstLine="560" w:firstLineChars="200"/>
        <w:rPr>
          <w:rFonts w:ascii="仿宋" w:hAnsi="仿宋" w:eastAsia="仿宋"/>
          <w:color w:val="auto"/>
          <w:sz w:val="28"/>
          <w:szCs w:val="28"/>
          <w:highlight w:val="none"/>
          <w:lang w:val="zh-CN" w:bidi="zh-CN"/>
        </w:rPr>
      </w:pPr>
      <w:r>
        <w:rPr>
          <w:rFonts w:ascii="仿宋" w:hAnsi="仿宋" w:eastAsia="仿宋"/>
          <w:color w:val="auto"/>
          <w:sz w:val="28"/>
          <w:szCs w:val="28"/>
          <w:highlight w:val="none"/>
          <w:lang w:val="zh-CN" w:bidi="zh-CN"/>
        </w:rPr>
        <w:t>6.</w:t>
      </w:r>
      <w:r>
        <w:rPr>
          <w:rFonts w:hint="eastAsia" w:ascii="仿宋" w:hAnsi="仿宋" w:eastAsia="仿宋"/>
          <w:color w:val="auto"/>
          <w:sz w:val="28"/>
          <w:szCs w:val="28"/>
          <w:highlight w:val="none"/>
          <w:lang w:bidi="zh-CN"/>
        </w:rPr>
        <w:t>乙方</w:t>
      </w:r>
      <w:r>
        <w:rPr>
          <w:rFonts w:ascii="仿宋" w:hAnsi="仿宋" w:eastAsia="仿宋"/>
          <w:color w:val="auto"/>
          <w:sz w:val="28"/>
          <w:szCs w:val="28"/>
          <w:highlight w:val="none"/>
          <w:lang w:val="zh-CN" w:bidi="zh-CN"/>
        </w:rPr>
        <w:t>未提供有效增值税发票（普票）及请款报告的，</w:t>
      </w:r>
      <w:r>
        <w:rPr>
          <w:rFonts w:hint="eastAsia" w:ascii="仿宋" w:hAnsi="仿宋" w:eastAsia="仿宋"/>
          <w:color w:val="auto"/>
          <w:sz w:val="28"/>
          <w:szCs w:val="28"/>
          <w:highlight w:val="none"/>
          <w:lang w:bidi="zh-CN"/>
        </w:rPr>
        <w:t>甲方</w:t>
      </w:r>
      <w:r>
        <w:rPr>
          <w:rFonts w:ascii="仿宋" w:hAnsi="仿宋" w:eastAsia="仿宋"/>
          <w:color w:val="auto"/>
          <w:sz w:val="28"/>
          <w:szCs w:val="28"/>
          <w:highlight w:val="none"/>
          <w:lang w:val="zh-CN" w:bidi="zh-CN"/>
        </w:rPr>
        <w:t>有权拒付，且不承担逾期付款的责任。</w:t>
      </w:r>
    </w:p>
    <w:p w14:paraId="233B1B19">
      <w:pPr>
        <w:wordWrap w:val="0"/>
        <w:autoSpaceDE w:val="0"/>
        <w:autoSpaceDN w:val="0"/>
        <w:ind w:firstLine="562" w:firstLineChars="200"/>
        <w:rPr>
          <w:rFonts w:ascii="仿宋" w:hAnsi="仿宋" w:eastAsia="仿宋"/>
          <w:b/>
          <w:bCs/>
          <w:color w:val="auto"/>
          <w:sz w:val="28"/>
          <w:szCs w:val="28"/>
          <w:highlight w:val="none"/>
          <w:lang w:val="zh-CN" w:bidi="zh-CN"/>
        </w:rPr>
      </w:pPr>
      <w:r>
        <w:rPr>
          <w:rFonts w:hint="eastAsia" w:ascii="仿宋" w:hAnsi="仿宋" w:eastAsia="仿宋"/>
          <w:b/>
          <w:bCs/>
          <w:color w:val="auto"/>
          <w:sz w:val="28"/>
          <w:szCs w:val="28"/>
          <w:highlight w:val="none"/>
          <w:lang w:bidi="zh-CN"/>
        </w:rPr>
        <w:t>九</w:t>
      </w:r>
      <w:r>
        <w:rPr>
          <w:rFonts w:hint="eastAsia" w:ascii="仿宋" w:hAnsi="仿宋" w:eastAsia="仿宋"/>
          <w:b/>
          <w:bCs/>
          <w:color w:val="auto"/>
          <w:sz w:val="28"/>
          <w:szCs w:val="28"/>
          <w:highlight w:val="none"/>
          <w:lang w:val="zh-CN" w:bidi="zh-CN"/>
        </w:rPr>
        <w:t>、履约保证金</w:t>
      </w:r>
    </w:p>
    <w:p w14:paraId="6AD8A14E">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1.履约保证金为</w:t>
      </w:r>
      <w:r>
        <w:rPr>
          <w:rFonts w:hint="eastAsia" w:ascii="仿宋" w:hAnsi="仿宋" w:eastAsia="仿宋"/>
          <w:color w:val="auto"/>
          <w:sz w:val="28"/>
          <w:szCs w:val="28"/>
          <w:highlight w:val="none"/>
          <w:lang w:bidi="zh-CN"/>
        </w:rPr>
        <w:t>签约合同价的3</w:t>
      </w:r>
      <w:r>
        <w:rPr>
          <w:rFonts w:ascii="仿宋" w:hAnsi="仿宋" w:eastAsia="仿宋"/>
          <w:color w:val="auto"/>
          <w:sz w:val="28"/>
          <w:szCs w:val="28"/>
          <w:highlight w:val="none"/>
          <w:lang w:bidi="zh-CN"/>
        </w:rPr>
        <w:t>%，即</w:t>
      </w:r>
      <w:r>
        <w:rPr>
          <w:rFonts w:hint="eastAsia" w:ascii="仿宋" w:hAnsi="仿宋" w:eastAsia="仿宋"/>
          <w:color w:val="auto"/>
          <w:sz w:val="28"/>
          <w:szCs w:val="28"/>
          <w:highlight w:val="none"/>
          <w:lang w:bidi="zh-CN"/>
        </w:rPr>
        <w:t>人民币（大写）：X</w:t>
      </w:r>
      <w:r>
        <w:rPr>
          <w:rFonts w:ascii="仿宋" w:hAnsi="仿宋" w:eastAsia="仿宋"/>
          <w:color w:val="auto"/>
          <w:sz w:val="28"/>
          <w:szCs w:val="28"/>
          <w:highlight w:val="none"/>
          <w:lang w:bidi="zh-CN"/>
        </w:rPr>
        <w:t>XXXX</w:t>
      </w:r>
      <w:r>
        <w:rPr>
          <w:rFonts w:hint="eastAsia" w:ascii="仿宋" w:hAnsi="仿宋" w:eastAsia="仿宋"/>
          <w:color w:val="auto"/>
          <w:sz w:val="28"/>
          <w:szCs w:val="28"/>
          <w:highlight w:val="none"/>
          <w:lang w:bidi="zh-CN"/>
        </w:rPr>
        <w:t>，（</w:t>
      </w:r>
      <w:r>
        <w:rPr>
          <w:rFonts w:ascii="Calibri" w:hAnsi="Calibri" w:eastAsia="仿宋" w:cs="Calibri"/>
          <w:bCs/>
          <w:color w:val="auto"/>
          <w:sz w:val="28"/>
          <w:szCs w:val="28"/>
          <w:highlight w:val="none"/>
          <w:lang w:bidi="zh-CN"/>
        </w:rPr>
        <w:t>¥</w:t>
      </w:r>
      <w:r>
        <w:rPr>
          <w:rFonts w:ascii="仿宋" w:hAnsi="仿宋" w:eastAsia="仿宋"/>
          <w:bCs/>
          <w:color w:val="auto"/>
          <w:sz w:val="28"/>
          <w:szCs w:val="28"/>
          <w:highlight w:val="none"/>
          <w:lang w:bidi="zh-CN"/>
        </w:rPr>
        <w:t xml:space="preserve"> </w:t>
      </w:r>
      <w:r>
        <w:rPr>
          <w:rFonts w:ascii="仿宋" w:hAnsi="仿宋" w:eastAsia="仿宋"/>
          <w:color w:val="auto"/>
          <w:sz w:val="28"/>
          <w:szCs w:val="28"/>
          <w:highlight w:val="none"/>
          <w:u w:val="single"/>
          <w:lang w:bidi="zh-CN"/>
        </w:rPr>
        <w:t>XXX</w:t>
      </w:r>
      <w:r>
        <w:rPr>
          <w:rFonts w:hint="eastAsia" w:ascii="仿宋" w:hAnsi="仿宋" w:eastAsia="仿宋"/>
          <w:color w:val="auto"/>
          <w:sz w:val="28"/>
          <w:szCs w:val="28"/>
          <w:highlight w:val="none"/>
          <w:lang w:bidi="zh-CN"/>
        </w:rPr>
        <w:t>元）</w:t>
      </w:r>
      <w:r>
        <w:rPr>
          <w:rFonts w:hint="eastAsia" w:ascii="仿宋" w:hAnsi="仿宋" w:eastAsia="仿宋"/>
          <w:color w:val="auto"/>
          <w:sz w:val="28"/>
          <w:szCs w:val="28"/>
          <w:highlight w:val="none"/>
          <w:lang w:val="zh-CN" w:bidi="zh-CN"/>
        </w:rPr>
        <w:t>，</w:t>
      </w:r>
      <w:r>
        <w:rPr>
          <w:rFonts w:hint="eastAsia" w:ascii="仿宋" w:hAnsi="仿宋" w:eastAsia="仿宋"/>
          <w:color w:val="auto"/>
          <w:sz w:val="28"/>
          <w:szCs w:val="28"/>
          <w:highlight w:val="none"/>
          <w:lang w:bidi="zh-CN"/>
        </w:rPr>
        <w:t>乙方</w:t>
      </w:r>
      <w:r>
        <w:rPr>
          <w:rFonts w:hint="eastAsia" w:ascii="仿宋" w:hAnsi="仿宋" w:eastAsia="仿宋"/>
          <w:color w:val="auto"/>
          <w:sz w:val="28"/>
          <w:szCs w:val="28"/>
          <w:highlight w:val="none"/>
          <w:lang w:val="zh-CN" w:bidi="zh-CN"/>
        </w:rPr>
        <w:t>应在成交通知书发出之日起合同签订前以银行转账形式向</w:t>
      </w:r>
      <w:r>
        <w:rPr>
          <w:rFonts w:hint="eastAsia" w:ascii="仿宋" w:hAnsi="仿宋" w:eastAsia="仿宋"/>
          <w:color w:val="auto"/>
          <w:sz w:val="28"/>
          <w:szCs w:val="28"/>
          <w:highlight w:val="none"/>
          <w:lang w:bidi="zh-CN"/>
        </w:rPr>
        <w:t>甲方</w:t>
      </w:r>
      <w:r>
        <w:rPr>
          <w:rFonts w:hint="eastAsia" w:ascii="仿宋" w:hAnsi="仿宋" w:eastAsia="仿宋"/>
          <w:color w:val="auto"/>
          <w:sz w:val="28"/>
          <w:szCs w:val="28"/>
          <w:highlight w:val="none"/>
          <w:lang w:val="zh-CN" w:bidi="zh-CN"/>
        </w:rPr>
        <w:t>提交履约保证金。</w:t>
      </w:r>
    </w:p>
    <w:p w14:paraId="20729055">
      <w:pPr>
        <w:wordWrap w:val="0"/>
        <w:autoSpaceDE w:val="0"/>
        <w:autoSpaceDN w:val="0"/>
        <w:ind w:firstLine="560" w:firstLineChars="200"/>
        <w:rPr>
          <w:rFonts w:hint="eastAsia" w:ascii="仿宋" w:hAnsi="仿宋" w:eastAsia="仿宋" w:cs="宋体"/>
          <w:color w:val="auto"/>
          <w:sz w:val="28"/>
          <w:szCs w:val="28"/>
          <w:highlight w:val="none"/>
          <w:lang w:val="zh-CN" w:bidi="zh-CN"/>
        </w:rPr>
      </w:pPr>
      <w:r>
        <w:rPr>
          <w:rFonts w:hint="eastAsia" w:ascii="仿宋" w:hAnsi="仿宋" w:eastAsia="仿宋" w:cs="宋体"/>
          <w:color w:val="auto"/>
          <w:sz w:val="28"/>
          <w:szCs w:val="28"/>
          <w:highlight w:val="none"/>
          <w:lang w:val="zh-CN" w:bidi="zh-CN"/>
        </w:rPr>
        <w:t>2.工程竣工后，履约保证金自动转为本工程质量保证金。</w:t>
      </w:r>
    </w:p>
    <w:p w14:paraId="7BECBB0D">
      <w:pPr>
        <w:wordWrap w:val="0"/>
        <w:autoSpaceDE w:val="0"/>
        <w:autoSpaceDN w:val="0"/>
        <w:ind w:firstLine="560" w:firstLineChars="200"/>
        <w:rPr>
          <w:rFonts w:hint="eastAsia" w:ascii="仿宋" w:hAnsi="仿宋" w:eastAsia="仿宋" w:cs="宋体"/>
          <w:color w:val="auto"/>
          <w:sz w:val="28"/>
          <w:szCs w:val="28"/>
          <w:highlight w:val="none"/>
          <w:lang w:val="zh-CN" w:bidi="zh-CN"/>
        </w:rPr>
      </w:pPr>
      <w:r>
        <w:rPr>
          <w:rFonts w:hint="eastAsia" w:ascii="仿宋" w:hAnsi="仿宋" w:eastAsia="仿宋" w:cs="宋体"/>
          <w:color w:val="auto"/>
          <w:sz w:val="28"/>
          <w:szCs w:val="28"/>
          <w:highlight w:val="none"/>
          <w:lang w:val="zh-CN" w:bidi="zh-CN"/>
        </w:rPr>
        <w:t>1）非防水工程质保期2年到期后，10个日历天内无息退还质量保证金（即履约保证金）的80%。</w:t>
      </w:r>
    </w:p>
    <w:p w14:paraId="76056F1B">
      <w:pPr>
        <w:wordWrap w:val="0"/>
        <w:autoSpaceDE w:val="0"/>
        <w:autoSpaceDN w:val="0"/>
        <w:ind w:firstLine="560" w:firstLineChars="200"/>
        <w:rPr>
          <w:rFonts w:hint="eastAsia" w:ascii="仿宋" w:hAnsi="仿宋" w:eastAsia="仿宋" w:cs="宋体"/>
          <w:color w:val="auto"/>
          <w:sz w:val="28"/>
          <w:szCs w:val="28"/>
          <w:highlight w:val="none"/>
          <w:lang w:val="zh-CN" w:bidi="zh-CN"/>
        </w:rPr>
      </w:pPr>
      <w:r>
        <w:rPr>
          <w:rFonts w:hint="eastAsia" w:ascii="仿宋" w:hAnsi="仿宋" w:eastAsia="仿宋" w:cs="宋体"/>
          <w:color w:val="auto"/>
          <w:sz w:val="28"/>
          <w:szCs w:val="28"/>
          <w:highlight w:val="none"/>
          <w:lang w:val="zh-CN" w:bidi="zh-CN"/>
        </w:rPr>
        <w:t>2）防水工程质保期5年到期后，10个日历天内无息退还至质量保证金（即履约保证金）的100%。</w:t>
      </w:r>
    </w:p>
    <w:p w14:paraId="325945E4">
      <w:pPr>
        <w:pStyle w:val="40"/>
        <w:tabs>
          <w:tab w:val="left" w:pos="0"/>
        </w:tabs>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bidi="zh-CN"/>
        </w:rPr>
        <w:t>3</w:t>
      </w:r>
      <w:r>
        <w:rPr>
          <w:rFonts w:hint="eastAsia" w:ascii="仿宋" w:hAnsi="仿宋" w:eastAsia="仿宋"/>
          <w:color w:val="auto"/>
          <w:sz w:val="28"/>
          <w:szCs w:val="28"/>
          <w:highlight w:val="none"/>
          <w:lang w:val="zh-CN" w:bidi="zh-CN"/>
        </w:rPr>
        <w:t>）</w:t>
      </w:r>
      <w:r>
        <w:rPr>
          <w:rFonts w:ascii="仿宋" w:hAnsi="仿宋" w:eastAsia="仿宋"/>
          <w:color w:val="auto"/>
          <w:sz w:val="28"/>
          <w:szCs w:val="28"/>
          <w:highlight w:val="none"/>
          <w:lang w:val="zh-CN" w:bidi="zh-CN"/>
        </w:rPr>
        <w:t>因甲方原因逾期退还的，应当以未退还金额为基数，按合同订立时1年期贷款市场报价利率标准向乙方支付相应违约金，但违约金最高不得超过未退还金额的百分之五。若因乙方不及时或未提供“收到退还质保金的收据”、“售后服务验收报告单”、“质保金退还申请”的，则甲方不承担逾期退还违约责任。</w:t>
      </w:r>
    </w:p>
    <w:p w14:paraId="50C9FF5D">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3.履约保证金汇入的银行及账号：</w:t>
      </w:r>
    </w:p>
    <w:p w14:paraId="41064208">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收款单位：成都市技师学院</w:t>
      </w:r>
    </w:p>
    <w:p w14:paraId="298D0FEE">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开户行：工行四川成都分行郫都红光支行</w:t>
      </w:r>
    </w:p>
    <w:p w14:paraId="3626CAC2">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银行账号：</w:t>
      </w:r>
      <w:r>
        <w:rPr>
          <w:rFonts w:ascii="仿宋" w:hAnsi="仿宋" w:eastAsia="仿宋"/>
          <w:color w:val="auto"/>
          <w:sz w:val="28"/>
          <w:szCs w:val="28"/>
          <w:highlight w:val="none"/>
          <w:lang w:val="zh-CN" w:bidi="zh-CN"/>
        </w:rPr>
        <w:t>4402054609100031151</w:t>
      </w:r>
    </w:p>
    <w:p w14:paraId="718049FD">
      <w:pPr>
        <w:wordWrap w:val="0"/>
        <w:autoSpaceDE w:val="0"/>
        <w:autoSpaceDN w:val="0"/>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zh-CN"/>
        </w:rPr>
        <w:t>4.履约保证金不予退还情形：一是</w:t>
      </w: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val="zh-CN"/>
        </w:rPr>
        <w:t>未按合同要求履行的，其履约保证金(质保金)全部扣除。二是</w:t>
      </w: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val="zh-CN"/>
        </w:rPr>
        <w:t>交纳了履约保证金，但因</w:t>
      </w: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val="zh-CN"/>
        </w:rPr>
        <w:t>自身原因被取消成交资格或在成交通知书发出之日起30日历天(含法定节假日)内</w:t>
      </w:r>
      <w:r>
        <w:rPr>
          <w:rFonts w:hint="eastAsia" w:ascii="仿宋" w:hAnsi="仿宋" w:eastAsia="仿宋"/>
          <w:color w:val="auto"/>
          <w:sz w:val="28"/>
          <w:szCs w:val="28"/>
          <w:highlight w:val="none"/>
        </w:rPr>
        <w:t>甲方不按竞争性谈判文件确定的事项与甲方签订合同的，其履约保证金不予退还。</w:t>
      </w:r>
      <w:r>
        <w:rPr>
          <w:rFonts w:hint="eastAsia" w:ascii="仿宋" w:hAnsi="仿宋" w:eastAsia="仿宋"/>
          <w:bCs/>
          <w:color w:val="auto"/>
          <w:sz w:val="28"/>
          <w:szCs w:val="28"/>
          <w:highlight w:val="none"/>
        </w:rPr>
        <w:t>三是法律法规或合同约定规定的其他情形。</w:t>
      </w:r>
    </w:p>
    <w:p w14:paraId="629477B5">
      <w:pPr>
        <w:wordWrap w:val="0"/>
        <w:autoSpaceDE w:val="0"/>
        <w:autoSpaceDN w:val="0"/>
        <w:ind w:firstLine="562" w:firstLineChars="200"/>
        <w:rPr>
          <w:rFonts w:ascii="仿宋" w:hAnsi="仿宋" w:eastAsia="仿宋"/>
          <w:b/>
          <w:bCs/>
          <w:color w:val="auto"/>
          <w:sz w:val="28"/>
          <w:szCs w:val="28"/>
          <w:highlight w:val="none"/>
          <w:lang w:val="zh-CN" w:bidi="zh-CN"/>
        </w:rPr>
      </w:pPr>
      <w:r>
        <w:rPr>
          <w:rFonts w:hint="eastAsia" w:ascii="仿宋" w:hAnsi="仿宋" w:eastAsia="仿宋"/>
          <w:b/>
          <w:bCs/>
          <w:color w:val="auto"/>
          <w:sz w:val="28"/>
          <w:szCs w:val="28"/>
          <w:highlight w:val="none"/>
          <w:lang w:bidi="zh-CN"/>
        </w:rPr>
        <w:t>十</w:t>
      </w:r>
      <w:r>
        <w:rPr>
          <w:rFonts w:hint="eastAsia" w:ascii="仿宋" w:hAnsi="仿宋" w:eastAsia="仿宋"/>
          <w:b/>
          <w:bCs/>
          <w:color w:val="auto"/>
          <w:sz w:val="28"/>
          <w:szCs w:val="28"/>
          <w:highlight w:val="none"/>
          <w:lang w:val="zh-CN" w:bidi="zh-CN"/>
        </w:rPr>
        <w:t>、验收标准</w:t>
      </w:r>
    </w:p>
    <w:p w14:paraId="4F1DD54D">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1.验收主体：甲方。</w:t>
      </w:r>
    </w:p>
    <w:p w14:paraId="29181D88">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2.验收时间及程序：</w:t>
      </w:r>
    </w:p>
    <w:p w14:paraId="768F83D7">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(1)工程施工过程中，若有隐蔽工程的，乙方应在隐蔽工程完成后2日历天内书面通知甲方验收，甲方收到乙方隐蔽工程验收通知后5日历天内完成隐蔽工程的验收，验收合格方能进入下一道工序。若乙方未通知甲方参加验收，甲方有权要求乙方返工、支付违约金并重新办理验收手续，由此导致超出工程期限的，乙方承担相应的逾期责任，并且因重新返工和办理验收手续所产生的费用也由乙方自行承担。违约金的支付参照合同第十二条第2款第（4）项约定。</w:t>
      </w:r>
    </w:p>
    <w:p w14:paraId="5477731F">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(2)工程全部竣工后，乙方</w:t>
      </w:r>
      <w:r>
        <w:rPr>
          <w:rFonts w:hint="eastAsia" w:ascii="仿宋" w:hAnsi="仿宋" w:eastAsia="仿宋"/>
          <w:color w:val="auto"/>
          <w:sz w:val="28"/>
          <w:szCs w:val="28"/>
          <w:highlight w:val="none"/>
          <w:lang w:val="en-US" w:bidi="zh-CN"/>
        </w:rPr>
        <w:t>提供有资质的空气检测单位出具的室内空气检测合格报告后</w:t>
      </w:r>
      <w:r>
        <w:rPr>
          <w:rFonts w:hint="eastAsia" w:ascii="仿宋" w:hAnsi="仿宋" w:eastAsia="仿宋"/>
          <w:color w:val="auto"/>
          <w:sz w:val="28"/>
          <w:szCs w:val="28"/>
          <w:highlight w:val="none"/>
          <w:lang w:bidi="zh-CN"/>
        </w:rPr>
        <w:t>书面通知甲方正式验收，甲方在接到验收通知后20日历天内组织验收小组进行现场验收。验收合格，双方签署《工程竣工验收报告》。如甲方在指定时间内未能组织验收，需及时通知乙方，另定验收日期，但甲方应承认竣工日期。</w:t>
      </w:r>
    </w:p>
    <w:p w14:paraId="2565691D">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(3)质保期内单次售后服务完成后，甲方收到乙方售后服务单次验收申请之日起10日历天内组织售后服务验收。验收合格，则签署《售后服务验收报告单》</w:t>
      </w:r>
      <w:r>
        <w:rPr>
          <w:rFonts w:ascii="仿宋" w:hAnsi="仿宋" w:eastAsia="仿宋"/>
          <w:color w:val="auto"/>
          <w:sz w:val="28"/>
          <w:szCs w:val="28"/>
          <w:highlight w:val="none"/>
          <w:lang w:bidi="zh-CN"/>
        </w:rPr>
        <w:t>；</w:t>
      </w:r>
      <w:r>
        <w:rPr>
          <w:rFonts w:hint="eastAsia" w:ascii="仿宋" w:hAnsi="仿宋" w:eastAsia="仿宋"/>
          <w:color w:val="auto"/>
          <w:sz w:val="28"/>
          <w:szCs w:val="28"/>
          <w:highlight w:val="none"/>
          <w:lang w:bidi="zh-CN"/>
        </w:rPr>
        <w:t>若单次售后服务验收不合格，甲方有权要求乙方限期整改，若整改依然不能达到要求的或未在甲方通知的时间内完成整改的，甲方有权按照合同约定第十二条第2款第（5）项约定追究乙方的违约责任。</w:t>
      </w:r>
    </w:p>
    <w:p w14:paraId="4D0A16F3">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3.验收方式：工程竣工验收及售后服务验收均为学校自主现场验收。</w:t>
      </w:r>
    </w:p>
    <w:p w14:paraId="4B8C89CC">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4. 验收内容及标准：</w:t>
      </w:r>
    </w:p>
    <w:p w14:paraId="4A005D41">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(1)工程内容验收包括①是否按照约定完成施工；②工程和工程量达到甲方的设计使用功能，且符合现行国家施工验收规范、道路工程质量验收标准、质量评定标准及其他相关法律、法规当地行政主管部门颁发的有关文件等要求，③乙方竣工的项目需符合本合同的约定。</w:t>
      </w:r>
    </w:p>
    <w:p w14:paraId="10329501">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(2)售后服务验收内容包括乙方①是否按时到场开展售后服务②是否按照质量保修书约定承担工程质量保修责任，③质量保修成果是否符合道路工程质量验收标准、质量评定标准及其他相关法律、法规当地行政主管部门颁发的有关文件等要求。</w:t>
      </w:r>
    </w:p>
    <w:p w14:paraId="1489F320">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5.</w:t>
      </w:r>
      <w:r>
        <w:rPr>
          <w:rFonts w:hint="eastAsia" w:ascii="仿宋" w:hAnsi="仿宋" w:eastAsia="仿宋"/>
          <w:color w:val="auto"/>
          <w:sz w:val="28"/>
          <w:szCs w:val="28"/>
          <w:highlight w:val="none"/>
          <w:lang w:val="zh-CN" w:bidi="zh-CN"/>
        </w:rPr>
        <w:t xml:space="preserve"> </w:t>
      </w:r>
      <w:r>
        <w:rPr>
          <w:rFonts w:hint="eastAsia" w:ascii="仿宋" w:hAnsi="仿宋" w:eastAsia="仿宋"/>
          <w:color w:val="auto"/>
          <w:sz w:val="28"/>
          <w:szCs w:val="28"/>
          <w:highlight w:val="none"/>
          <w:lang w:bidi="zh-CN"/>
        </w:rPr>
        <w:t>验收不合格的处理方式：</w:t>
      </w:r>
    </w:p>
    <w:p w14:paraId="741D66AF">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5.1若竣工验收不合格要求整改的，整改时间由甲方根据项目具体情况确定，其返工整改费用由乙方承担，且工期不顺延，同时乙方应当赔偿由此给甲方造成的全部损失。若乙方未在约定时间内完成整改或整改后甲方验收仍无法达到要求的，则视为乙方不能履约，甲方有权终止合同，并按合同第十二条第2款第（4）项约定追究乙方的违约责任。</w:t>
      </w:r>
    </w:p>
    <w:p w14:paraId="7936C278">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5.</w:t>
      </w:r>
      <w:r>
        <w:rPr>
          <w:rFonts w:ascii="仿宋" w:hAnsi="仿宋" w:eastAsia="仿宋"/>
          <w:color w:val="auto"/>
          <w:sz w:val="28"/>
          <w:szCs w:val="28"/>
          <w:highlight w:val="none"/>
          <w:lang w:bidi="zh-CN"/>
        </w:rPr>
        <w:t>2</w:t>
      </w:r>
      <w:r>
        <w:rPr>
          <w:rFonts w:hint="eastAsia" w:ascii="仿宋" w:hAnsi="仿宋" w:eastAsia="仿宋"/>
          <w:color w:val="auto"/>
          <w:sz w:val="28"/>
          <w:szCs w:val="28"/>
          <w:highlight w:val="none"/>
          <w:lang w:bidi="zh-CN"/>
        </w:rPr>
        <w:t>若单次售后服务验收不合格，甲方有权要求整改，整改时间由甲方根据项目具体情况确定，其整改费用由乙方承担，若乙方未在约定时间内完成整改或整改后甲方验收仍无法达到要求的，则甲方有权按合同第十二条第2款第（5）项约定追究乙方的违约责任。</w:t>
      </w:r>
    </w:p>
    <w:p w14:paraId="7426B1D6">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6.乙方提供竣工验收资料的内容：竣工验收后15日历天内将施工过程中形成的有关完整资料分类整理，乙方提交的竣工资料和竣工图必须达到《建设工程文件归档规范》(GB/T 50328-2019)要求。乙方应按时递交结算资料，竣工验收后15日历天内未递交的，每逾</w:t>
      </w:r>
      <w:r>
        <w:rPr>
          <w:rFonts w:ascii="仿宋" w:hAnsi="仿宋" w:eastAsia="仿宋"/>
          <w:color w:val="auto"/>
          <w:sz w:val="28"/>
          <w:szCs w:val="28"/>
          <w:highlight w:val="none"/>
          <w:lang w:bidi="zh-CN"/>
        </w:rPr>
        <w:t>1</w:t>
      </w:r>
      <w:r>
        <w:rPr>
          <w:rFonts w:hint="eastAsia" w:ascii="仿宋" w:hAnsi="仿宋" w:eastAsia="仿宋"/>
          <w:color w:val="auto"/>
          <w:sz w:val="28"/>
          <w:szCs w:val="28"/>
          <w:highlight w:val="none"/>
          <w:lang w:bidi="zh-CN"/>
        </w:rPr>
        <w:t>日历天</w:t>
      </w:r>
      <w:r>
        <w:rPr>
          <w:rFonts w:ascii="仿宋" w:hAnsi="仿宋" w:eastAsia="仿宋"/>
          <w:color w:val="auto"/>
          <w:sz w:val="28"/>
          <w:szCs w:val="28"/>
          <w:highlight w:val="none"/>
          <w:lang w:bidi="zh-CN"/>
        </w:rPr>
        <w:t>递交，乙方应按合同总金额万分之三向甲方支付违约金（甲方有权直接从应付款项中扣除）；</w:t>
      </w:r>
      <w:r>
        <w:rPr>
          <w:rFonts w:hint="eastAsia" w:ascii="仿宋" w:hAnsi="仿宋" w:eastAsia="仿宋"/>
          <w:color w:val="auto"/>
          <w:sz w:val="28"/>
          <w:szCs w:val="28"/>
          <w:highlight w:val="none"/>
          <w:lang w:bidi="zh-CN"/>
        </w:rPr>
        <w:t>逾期超过15</w:t>
      </w:r>
      <w:r>
        <w:rPr>
          <w:rFonts w:ascii="仿宋" w:hAnsi="仿宋" w:eastAsia="仿宋"/>
          <w:color w:val="auto"/>
          <w:sz w:val="28"/>
          <w:szCs w:val="28"/>
          <w:highlight w:val="none"/>
          <w:lang w:bidi="zh-CN"/>
        </w:rPr>
        <w:t>日历</w:t>
      </w:r>
      <w:r>
        <w:rPr>
          <w:rFonts w:hint="eastAsia" w:ascii="仿宋" w:hAnsi="仿宋" w:eastAsia="仿宋"/>
          <w:color w:val="auto"/>
          <w:sz w:val="28"/>
          <w:szCs w:val="28"/>
          <w:highlight w:val="none"/>
          <w:lang w:bidi="zh-CN"/>
        </w:rPr>
        <w:t>天且经甲方提醒仍不递交的，甲方有权没收乙方履约保证金，且不予支付乙方剩余合同价款。</w:t>
      </w:r>
    </w:p>
    <w:p w14:paraId="2D9D9C02">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7.其他未尽事宜应参照《财政部关于进一步加强政府采购需求和履约验收管理的指导意见》(财库〔2016〕205号)的要求进行验收。</w:t>
      </w:r>
    </w:p>
    <w:p w14:paraId="3F1D60DF">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8.交付方式及标准：工程竣工后，经甲方组织各方实地验收合格后，各方在《工程竣工验收报告》上签字，视为正式交付。</w:t>
      </w:r>
    </w:p>
    <w:p w14:paraId="6F119AE9">
      <w:pPr>
        <w:wordWrap w:val="0"/>
        <w:autoSpaceDE w:val="0"/>
        <w:autoSpaceDN w:val="0"/>
        <w:ind w:firstLine="562" w:firstLineChars="200"/>
        <w:rPr>
          <w:rFonts w:ascii="仿宋" w:hAnsi="仿宋" w:eastAsia="仿宋"/>
          <w:b/>
          <w:bCs/>
          <w:color w:val="auto"/>
          <w:kern w:val="0"/>
          <w:sz w:val="28"/>
          <w:szCs w:val="28"/>
          <w:highlight w:val="none"/>
          <w:lang w:val="zh-CN" w:bidi="zh-CN"/>
        </w:rPr>
      </w:pPr>
      <w:r>
        <w:rPr>
          <w:rFonts w:hint="eastAsia" w:ascii="仿宋" w:hAnsi="仿宋" w:eastAsia="仿宋"/>
          <w:b/>
          <w:bCs/>
          <w:color w:val="auto"/>
          <w:kern w:val="0"/>
          <w:sz w:val="28"/>
          <w:szCs w:val="28"/>
          <w:highlight w:val="none"/>
          <w:lang w:bidi="zh-CN"/>
        </w:rPr>
        <w:t>十一</w:t>
      </w:r>
      <w:r>
        <w:rPr>
          <w:rFonts w:hint="eastAsia" w:ascii="仿宋" w:hAnsi="仿宋" w:eastAsia="仿宋"/>
          <w:b/>
          <w:bCs/>
          <w:color w:val="auto"/>
          <w:kern w:val="0"/>
          <w:sz w:val="28"/>
          <w:szCs w:val="28"/>
          <w:highlight w:val="none"/>
          <w:lang w:val="zh-CN" w:bidi="zh-CN"/>
        </w:rPr>
        <w:t>、其他商务要求</w:t>
      </w:r>
    </w:p>
    <w:p w14:paraId="157C32B2">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1.对施工现场交通和噪音的要求：遵守地方政府和有关部门对施工场地交通和施工噪音等管理规定。施工单位应尽量减小施工对教学秩序的影响。</w:t>
      </w:r>
    </w:p>
    <w:p w14:paraId="377A5188">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2.施工场地整洁卫生的要求：乙方保证施工现场清洁。</w:t>
      </w:r>
    </w:p>
    <w:p w14:paraId="1F5CF1BB">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3.保护建筑物结构及相应管线和设备的措施：乙方造成学校管网、电缆、树木、构筑物</w:t>
      </w:r>
      <w:r>
        <w:rPr>
          <w:rFonts w:hint="eastAsia" w:ascii="仿宋" w:hAnsi="仿宋" w:eastAsia="仿宋" w:cs="___WRD_EMBED_SUB_41"/>
          <w:color w:val="auto"/>
          <w:sz w:val="28"/>
          <w:szCs w:val="28"/>
          <w:highlight w:val="none"/>
        </w:rPr>
        <w:t>、室内设备</w:t>
      </w:r>
      <w:r>
        <w:rPr>
          <w:rFonts w:hint="eastAsia" w:ascii="仿宋" w:hAnsi="仿宋" w:eastAsia="仿宋"/>
          <w:bCs/>
          <w:color w:val="auto"/>
          <w:sz w:val="28"/>
          <w:szCs w:val="28"/>
          <w:highlight w:val="none"/>
        </w:rPr>
        <w:t>等损坏的，要在甲方规定期限内进行修复，无法修复的除照价赔偿外，还需要向甲方偿付合同总金额的百分之五的违约金。</w:t>
      </w:r>
    </w:p>
    <w:p w14:paraId="21EDF87F">
      <w:pPr>
        <w:wordWrap w:val="0"/>
        <w:autoSpaceDE w:val="0"/>
        <w:autoSpaceDN w:val="0"/>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4.乙方提供的主要材料设备应在使用前向甲方提供建筑材料样品、产品合格证书，否则不得使用；竣工时建筑材料的产品合格证书作为结算资料一并提交甲方。</w:t>
      </w:r>
    </w:p>
    <w:p w14:paraId="18F3076C">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bCs/>
          <w:color w:val="auto"/>
          <w:sz w:val="28"/>
          <w:szCs w:val="28"/>
          <w:highlight w:val="none"/>
        </w:rPr>
        <w:t>5.乙方在项目执行过程中定期向甲方通告本项目供货的重大事项及其进度</w:t>
      </w:r>
      <w:r>
        <w:rPr>
          <w:rFonts w:ascii="仿宋" w:hAnsi="仿宋" w:eastAsia="仿宋"/>
          <w:color w:val="auto"/>
          <w:sz w:val="28"/>
          <w:szCs w:val="28"/>
          <w:highlight w:val="none"/>
          <w:lang w:bidi="zh-CN"/>
        </w:rPr>
        <w:t>。</w:t>
      </w:r>
    </w:p>
    <w:p w14:paraId="39DAFB8C">
      <w:pPr>
        <w:wordWrap w:val="0"/>
        <w:autoSpaceDE w:val="0"/>
        <w:autoSpaceDN w:val="0"/>
        <w:ind w:firstLine="560" w:firstLineChars="200"/>
        <w:rPr>
          <w:rFonts w:ascii="仿宋" w:hAnsi="仿宋" w:eastAsia="仿宋"/>
          <w:color w:val="auto"/>
          <w:sz w:val="28"/>
          <w:szCs w:val="28"/>
          <w:highlight w:val="none"/>
          <w:lang w:val="zh-CN" w:bidi="zh-CN"/>
        </w:rPr>
      </w:pPr>
      <w:r>
        <w:rPr>
          <w:rFonts w:ascii="仿宋" w:hAnsi="仿宋" w:eastAsia="仿宋"/>
          <w:color w:val="auto"/>
          <w:sz w:val="28"/>
          <w:szCs w:val="28"/>
          <w:highlight w:val="none"/>
          <w:lang w:bidi="zh-CN"/>
        </w:rPr>
        <w:t>6</w:t>
      </w:r>
      <w:r>
        <w:rPr>
          <w:rFonts w:hint="eastAsia" w:ascii="仿宋" w:hAnsi="仿宋" w:eastAsia="仿宋"/>
          <w:color w:val="auto"/>
          <w:sz w:val="28"/>
          <w:szCs w:val="28"/>
          <w:highlight w:val="none"/>
          <w:lang w:bidi="zh-CN"/>
        </w:rPr>
        <w:t>.乙方应</w:t>
      </w:r>
      <w:r>
        <w:rPr>
          <w:rFonts w:hint="eastAsia" w:ascii="仿宋" w:hAnsi="仿宋" w:eastAsia="仿宋"/>
          <w:color w:val="auto"/>
          <w:sz w:val="28"/>
          <w:szCs w:val="28"/>
          <w:highlight w:val="none"/>
          <w:lang w:val="zh-CN" w:bidi="zh-CN"/>
        </w:rPr>
        <w:t>制定详细</w:t>
      </w:r>
      <w:r>
        <w:rPr>
          <w:rFonts w:hint="eastAsia" w:ascii="仿宋" w:hAnsi="仿宋" w:eastAsia="仿宋"/>
          <w:color w:val="auto"/>
          <w:sz w:val="28"/>
          <w:szCs w:val="28"/>
          <w:highlight w:val="none"/>
          <w:lang w:bidi="zh-CN"/>
        </w:rPr>
        <w:t>的</w:t>
      </w:r>
      <w:r>
        <w:rPr>
          <w:rFonts w:hint="eastAsia" w:ascii="仿宋" w:hAnsi="仿宋" w:eastAsia="仿宋"/>
          <w:color w:val="auto"/>
          <w:sz w:val="28"/>
          <w:szCs w:val="28"/>
          <w:highlight w:val="none"/>
          <w:lang w:val="zh-CN" w:bidi="zh-CN"/>
        </w:rPr>
        <w:t>施工方案与技术措施、项目管理机构方</w:t>
      </w:r>
      <w:r>
        <w:rPr>
          <w:rFonts w:hint="eastAsia" w:ascii="仿宋" w:hAnsi="仿宋" w:eastAsia="仿宋"/>
          <w:color w:val="auto"/>
          <w:sz w:val="28"/>
          <w:szCs w:val="28"/>
          <w:highlight w:val="none"/>
          <w:lang w:bidi="zh-CN"/>
        </w:rPr>
        <w:t>案、</w:t>
      </w:r>
      <w:r>
        <w:rPr>
          <w:rFonts w:hint="eastAsia" w:ascii="仿宋" w:hAnsi="仿宋" w:eastAsia="仿宋"/>
          <w:color w:val="auto"/>
          <w:sz w:val="28"/>
          <w:szCs w:val="28"/>
          <w:highlight w:val="none"/>
          <w:lang w:val="zh-CN" w:bidi="zh-CN"/>
        </w:rPr>
        <w:t>质量管理体系及保证措施、安全防护及文明施工管理体系与措施、环境保护管理体系与措施、项目进度计划与措施</w:t>
      </w:r>
      <w:r>
        <w:rPr>
          <w:rFonts w:hint="eastAsia" w:ascii="仿宋" w:hAnsi="仿宋" w:eastAsia="仿宋"/>
          <w:color w:val="auto"/>
          <w:sz w:val="28"/>
          <w:szCs w:val="28"/>
          <w:highlight w:val="none"/>
          <w:lang w:bidi="zh-CN"/>
        </w:rPr>
        <w:t>具体内容详见乙方响应文件。</w:t>
      </w:r>
    </w:p>
    <w:p w14:paraId="1F2CD5DF">
      <w:pPr>
        <w:wordWrap w:val="0"/>
        <w:autoSpaceDE w:val="0"/>
        <w:autoSpaceDN w:val="0"/>
        <w:ind w:firstLine="560" w:firstLineChars="200"/>
        <w:rPr>
          <w:rFonts w:ascii="仿宋" w:hAnsi="仿宋" w:eastAsia="仿宋"/>
          <w:color w:val="auto"/>
          <w:sz w:val="28"/>
          <w:szCs w:val="28"/>
          <w:highlight w:val="none"/>
          <w:lang w:bidi="zh-CN"/>
        </w:rPr>
      </w:pPr>
      <w:r>
        <w:rPr>
          <w:rFonts w:ascii="仿宋" w:hAnsi="仿宋" w:eastAsia="仿宋"/>
          <w:color w:val="auto"/>
          <w:sz w:val="28"/>
          <w:szCs w:val="28"/>
          <w:highlight w:val="none"/>
          <w:lang w:bidi="zh-CN"/>
        </w:rPr>
        <w:t>7</w:t>
      </w:r>
      <w:r>
        <w:rPr>
          <w:rFonts w:hint="eastAsia" w:ascii="仿宋" w:hAnsi="仿宋" w:eastAsia="仿宋"/>
          <w:color w:val="auto"/>
          <w:sz w:val="28"/>
          <w:szCs w:val="28"/>
          <w:highlight w:val="none"/>
          <w:lang w:bidi="zh-CN"/>
        </w:rPr>
        <w:t>.乙方</w:t>
      </w:r>
      <w:r>
        <w:rPr>
          <w:rFonts w:hint="eastAsia" w:ascii="仿宋" w:hAnsi="仿宋" w:eastAsia="仿宋"/>
          <w:color w:val="auto"/>
          <w:sz w:val="28"/>
          <w:szCs w:val="28"/>
          <w:highlight w:val="none"/>
          <w:lang w:val="zh-CN" w:bidi="zh-CN"/>
        </w:rPr>
        <w:t>拟投入本项目的团队成员</w:t>
      </w:r>
      <w:r>
        <w:rPr>
          <w:rFonts w:hint="eastAsia" w:ascii="仿宋" w:hAnsi="仿宋" w:eastAsia="仿宋"/>
          <w:color w:val="auto"/>
          <w:sz w:val="28"/>
          <w:szCs w:val="28"/>
          <w:highlight w:val="none"/>
          <w:lang w:bidi="zh-CN"/>
        </w:rPr>
        <w:t>详见乙方响应文件。</w:t>
      </w:r>
    </w:p>
    <w:p w14:paraId="5D7CEAAE">
      <w:pPr>
        <w:pStyle w:val="2"/>
        <w:rPr>
          <w:rFonts w:ascii="仿宋" w:hAnsi="仿宋" w:eastAsia="仿宋"/>
          <w:color w:val="auto"/>
          <w:kern w:val="2"/>
          <w:sz w:val="28"/>
          <w:szCs w:val="28"/>
          <w:highlight w:val="none"/>
          <w:lang w:val="zh-CN" w:bidi="zh-CN"/>
        </w:rPr>
      </w:pPr>
    </w:p>
    <w:p w14:paraId="5F094E61">
      <w:pPr>
        <w:wordWrap w:val="0"/>
        <w:autoSpaceDE w:val="0"/>
        <w:autoSpaceDN w:val="0"/>
        <w:ind w:firstLine="562" w:firstLineChars="200"/>
        <w:rPr>
          <w:rFonts w:ascii="仿宋" w:hAnsi="仿宋" w:eastAsia="仿宋"/>
          <w:b/>
          <w:bCs/>
          <w:color w:val="auto"/>
          <w:sz w:val="28"/>
          <w:szCs w:val="28"/>
          <w:highlight w:val="none"/>
          <w:lang w:val="zh-CN" w:bidi="zh-CN"/>
        </w:rPr>
      </w:pPr>
      <w:r>
        <w:rPr>
          <w:rFonts w:hint="eastAsia" w:ascii="仿宋" w:hAnsi="仿宋" w:eastAsia="仿宋"/>
          <w:b/>
          <w:bCs/>
          <w:color w:val="auto"/>
          <w:sz w:val="28"/>
          <w:szCs w:val="28"/>
          <w:highlight w:val="none"/>
          <w:lang w:bidi="zh-CN"/>
        </w:rPr>
        <w:t>十二</w:t>
      </w:r>
      <w:r>
        <w:rPr>
          <w:rFonts w:hint="eastAsia" w:ascii="仿宋" w:hAnsi="仿宋" w:eastAsia="仿宋"/>
          <w:b/>
          <w:bCs/>
          <w:color w:val="auto"/>
          <w:sz w:val="28"/>
          <w:szCs w:val="28"/>
          <w:highlight w:val="none"/>
          <w:lang w:val="zh-CN" w:bidi="zh-CN"/>
        </w:rPr>
        <w:t>、违约责任</w:t>
      </w:r>
    </w:p>
    <w:p w14:paraId="33241642">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1.甲方违约的责任：</w:t>
      </w:r>
    </w:p>
    <w:p w14:paraId="453FD90C">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(1)甲方应根据合同约定的时间、方式和甲方确认的工程量，按构成合同价款相应项目的单价和取费标准计算，支付工程价款。</w:t>
      </w:r>
    </w:p>
    <w:p w14:paraId="277E8272">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(2)甲方故意逾期支付工程款的，除应及时付足工程款外，应向乙方</w:t>
      </w:r>
      <w:r>
        <w:rPr>
          <w:rFonts w:hint="eastAsia" w:ascii="仿宋" w:hAnsi="仿宋" w:eastAsia="仿宋"/>
          <w:color w:val="auto"/>
          <w:sz w:val="28"/>
          <w:szCs w:val="28"/>
          <w:highlight w:val="none"/>
          <w:lang w:bidi="zh-CN"/>
        </w:rPr>
        <w:t>支</w:t>
      </w:r>
      <w:r>
        <w:rPr>
          <w:rFonts w:hint="eastAsia" w:ascii="仿宋" w:hAnsi="仿宋" w:eastAsia="仿宋"/>
          <w:color w:val="auto"/>
          <w:sz w:val="28"/>
          <w:szCs w:val="28"/>
          <w:highlight w:val="none"/>
          <w:lang w:val="zh-CN" w:bidi="zh-CN"/>
        </w:rPr>
        <w:t>付欠款总额万分之</w:t>
      </w:r>
      <w:r>
        <w:rPr>
          <w:rFonts w:hint="eastAsia" w:ascii="仿宋" w:hAnsi="仿宋" w:eastAsia="仿宋"/>
          <w:color w:val="auto"/>
          <w:sz w:val="28"/>
          <w:szCs w:val="28"/>
          <w:highlight w:val="none"/>
          <w:lang w:val="en-US" w:bidi="zh-CN"/>
        </w:rPr>
        <w:t>一</w:t>
      </w:r>
      <w:r>
        <w:rPr>
          <w:rFonts w:hint="eastAsia" w:ascii="仿宋" w:hAnsi="仿宋" w:eastAsia="仿宋"/>
          <w:color w:val="auto"/>
          <w:sz w:val="28"/>
          <w:szCs w:val="28"/>
          <w:highlight w:val="none"/>
          <w:lang w:val="zh-CN" w:bidi="zh-CN"/>
        </w:rPr>
        <w:t>/天的违约金，但逾期违约金不得超过欠款总额的百分之</w:t>
      </w:r>
      <w:r>
        <w:rPr>
          <w:rFonts w:hint="eastAsia" w:ascii="仿宋" w:hAnsi="仿宋" w:eastAsia="仿宋"/>
          <w:color w:val="auto"/>
          <w:sz w:val="28"/>
          <w:szCs w:val="28"/>
          <w:highlight w:val="none"/>
          <w:lang w:val="en-US" w:bidi="zh-CN"/>
        </w:rPr>
        <w:t>五</w:t>
      </w:r>
      <w:r>
        <w:rPr>
          <w:rFonts w:hint="eastAsia" w:ascii="仿宋" w:hAnsi="仿宋" w:eastAsia="仿宋"/>
          <w:color w:val="auto"/>
          <w:sz w:val="28"/>
          <w:szCs w:val="28"/>
          <w:highlight w:val="none"/>
          <w:lang w:val="zh-CN" w:bidi="zh-CN"/>
        </w:rPr>
        <w:t>。逾期付款超过30个日历天的，乙方有权终止合同。非甲方故意逾期付款的，甲方不承担任何逾期付款责任，乙方也不得终止合同(说明：如因202</w:t>
      </w:r>
      <w:r>
        <w:rPr>
          <w:rFonts w:hint="eastAsia" w:ascii="仿宋" w:hAnsi="仿宋" w:eastAsia="仿宋"/>
          <w:color w:val="auto"/>
          <w:sz w:val="28"/>
          <w:szCs w:val="28"/>
          <w:highlight w:val="none"/>
          <w:lang w:val="en-US" w:bidi="zh-CN"/>
        </w:rPr>
        <w:t>5</w:t>
      </w:r>
      <w:r>
        <w:rPr>
          <w:rFonts w:hint="eastAsia" w:ascii="仿宋" w:hAnsi="仿宋" w:eastAsia="仿宋"/>
          <w:color w:val="auto"/>
          <w:sz w:val="28"/>
          <w:szCs w:val="28"/>
          <w:highlight w:val="none"/>
          <w:lang w:val="zh-CN" w:bidi="zh-CN"/>
        </w:rPr>
        <w:t>年年终财政关闭支付系统导致甲方在合同履行期间无法支付，则甲方不承担逾期支付责任，待202</w:t>
      </w:r>
      <w:r>
        <w:rPr>
          <w:rFonts w:hint="eastAsia" w:ascii="仿宋" w:hAnsi="仿宋" w:eastAsia="仿宋"/>
          <w:color w:val="auto"/>
          <w:sz w:val="28"/>
          <w:szCs w:val="28"/>
          <w:highlight w:val="none"/>
          <w:lang w:val="en-US" w:bidi="zh-CN"/>
        </w:rPr>
        <w:t>6</w:t>
      </w:r>
      <w:r>
        <w:rPr>
          <w:rFonts w:hint="eastAsia" w:ascii="仿宋" w:hAnsi="仿宋" w:eastAsia="仿宋"/>
          <w:color w:val="auto"/>
          <w:sz w:val="28"/>
          <w:szCs w:val="28"/>
          <w:highlight w:val="none"/>
          <w:lang w:val="zh-CN" w:bidi="zh-CN"/>
        </w:rPr>
        <w:t>年财政支付系统开通后支付)。</w:t>
      </w:r>
    </w:p>
    <w:p w14:paraId="0DE2CA5B">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2.乙方违约的责任：</w:t>
      </w:r>
    </w:p>
    <w:p w14:paraId="38BCAE92">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(1)乙方应严格按照合同约定进行施工；每逾期1日历天完工，</w:t>
      </w:r>
      <w:r>
        <w:rPr>
          <w:rFonts w:hint="eastAsia" w:ascii="仿宋" w:hAnsi="仿宋" w:eastAsia="仿宋"/>
          <w:color w:val="auto"/>
          <w:sz w:val="28"/>
          <w:szCs w:val="28"/>
          <w:highlight w:val="none"/>
          <w:lang w:bidi="zh-CN"/>
        </w:rPr>
        <w:t>乙方应向甲方支付</w:t>
      </w:r>
      <w:r>
        <w:rPr>
          <w:rFonts w:hint="eastAsia" w:ascii="仿宋" w:hAnsi="仿宋" w:eastAsia="仿宋"/>
          <w:color w:val="auto"/>
          <w:sz w:val="28"/>
          <w:szCs w:val="28"/>
          <w:highlight w:val="none"/>
          <w:lang w:val="zh-CN" w:bidi="zh-CN"/>
        </w:rPr>
        <w:t>合同价</w:t>
      </w:r>
      <w:r>
        <w:rPr>
          <w:rFonts w:hint="eastAsia" w:ascii="仿宋" w:hAnsi="仿宋" w:eastAsia="仿宋"/>
          <w:color w:val="auto"/>
          <w:sz w:val="28"/>
          <w:szCs w:val="28"/>
          <w:highlight w:val="none"/>
          <w:lang w:val="en-US" w:bidi="zh-CN"/>
        </w:rPr>
        <w:t>万</w:t>
      </w:r>
      <w:r>
        <w:rPr>
          <w:rFonts w:hint="eastAsia" w:ascii="仿宋" w:hAnsi="仿宋" w:eastAsia="仿宋"/>
          <w:color w:val="auto"/>
          <w:sz w:val="28"/>
          <w:szCs w:val="28"/>
          <w:highlight w:val="none"/>
          <w:lang w:val="zh-CN" w:bidi="zh-CN"/>
        </w:rPr>
        <w:t>分之三/日历</w:t>
      </w:r>
      <w:r>
        <w:rPr>
          <w:rFonts w:ascii="仿宋" w:hAnsi="仿宋" w:eastAsia="仿宋"/>
          <w:color w:val="auto"/>
          <w:sz w:val="28"/>
          <w:szCs w:val="28"/>
          <w:highlight w:val="none"/>
          <w:lang w:val="zh-CN" w:bidi="zh-CN"/>
        </w:rPr>
        <w:t>天</w:t>
      </w:r>
      <w:r>
        <w:rPr>
          <w:rFonts w:hint="eastAsia" w:ascii="仿宋" w:hAnsi="仿宋" w:eastAsia="仿宋"/>
          <w:color w:val="auto"/>
          <w:sz w:val="28"/>
          <w:szCs w:val="28"/>
          <w:highlight w:val="none"/>
          <w:lang w:val="zh-CN" w:bidi="zh-CN"/>
        </w:rPr>
        <w:t>的违约金，逾期超过20日历天，甲方有权解除合同，不再返还乙方的履约保证金，并有权要求乙方向甲方支付合同价百分之三十的违约金，甲方不再向乙方支付任何费用且乙方须全额退还甲方已经支付的货款及其利息，同时甲方有权继续追究乙方由此给甲方造成的损失和乙方的法律责任。</w:t>
      </w:r>
    </w:p>
    <w:p w14:paraId="26A91EF7">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(2)乙方应按时递交竣工结算资料，竣工验收后15</w:t>
      </w:r>
      <w:r>
        <w:rPr>
          <w:rFonts w:hint="eastAsia" w:ascii="仿宋" w:hAnsi="仿宋" w:eastAsia="仿宋"/>
          <w:color w:val="auto"/>
          <w:sz w:val="28"/>
          <w:szCs w:val="28"/>
          <w:highlight w:val="none"/>
          <w:lang w:bidi="zh-CN"/>
        </w:rPr>
        <w:t>个日历天</w:t>
      </w:r>
      <w:r>
        <w:rPr>
          <w:rFonts w:hint="eastAsia" w:ascii="仿宋" w:hAnsi="仿宋" w:eastAsia="仿宋"/>
          <w:color w:val="auto"/>
          <w:sz w:val="28"/>
          <w:szCs w:val="28"/>
          <w:highlight w:val="none"/>
          <w:lang w:val="zh-CN" w:bidi="zh-CN"/>
        </w:rPr>
        <w:t>内未递交的，每逾1日历天递交，乙方应按</w:t>
      </w:r>
      <w:r>
        <w:rPr>
          <w:rFonts w:hint="eastAsia" w:ascii="仿宋" w:hAnsi="仿宋" w:eastAsia="仿宋"/>
          <w:color w:val="auto"/>
          <w:sz w:val="28"/>
          <w:szCs w:val="28"/>
          <w:highlight w:val="none"/>
          <w:lang w:bidi="zh-CN"/>
        </w:rPr>
        <w:t>价的</w:t>
      </w:r>
      <w:r>
        <w:rPr>
          <w:rFonts w:hint="eastAsia" w:ascii="仿宋" w:hAnsi="仿宋" w:eastAsia="仿宋"/>
          <w:color w:val="auto"/>
          <w:sz w:val="28"/>
          <w:szCs w:val="28"/>
          <w:highlight w:val="none"/>
          <w:lang w:val="zh-CN" w:bidi="zh-CN"/>
        </w:rPr>
        <w:t>万分之三向甲方支付违约金（甲方有权直接从应付的费用中进行扣除）；超过15</w:t>
      </w:r>
      <w:r>
        <w:rPr>
          <w:rFonts w:hint="eastAsia" w:ascii="仿宋" w:hAnsi="仿宋" w:eastAsia="仿宋"/>
          <w:color w:val="auto"/>
          <w:sz w:val="28"/>
          <w:szCs w:val="28"/>
          <w:highlight w:val="none"/>
          <w:lang w:bidi="zh-CN"/>
        </w:rPr>
        <w:t>个日历天</w:t>
      </w:r>
      <w:r>
        <w:rPr>
          <w:rFonts w:hint="eastAsia" w:ascii="仿宋" w:hAnsi="仿宋" w:eastAsia="仿宋"/>
          <w:color w:val="auto"/>
          <w:sz w:val="28"/>
          <w:szCs w:val="28"/>
          <w:highlight w:val="none"/>
          <w:lang w:val="zh-CN" w:bidi="zh-CN"/>
        </w:rPr>
        <w:t>且经甲方提醒后仍不递交的，甲方有权没收乙方履约保证金，且不予支付乙方剩余合同价款。</w:t>
      </w:r>
    </w:p>
    <w:p w14:paraId="02497D81">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(3)乙方不得将本合同标的全部或部分转让给第三方，否则，</w:t>
      </w:r>
      <w:r>
        <w:rPr>
          <w:rFonts w:hint="eastAsia" w:ascii="仿宋" w:hAnsi="仿宋" w:eastAsia="仿宋"/>
          <w:color w:val="auto"/>
          <w:sz w:val="28"/>
          <w:szCs w:val="28"/>
          <w:highlight w:val="none"/>
          <w:lang w:bidi="zh-CN"/>
        </w:rPr>
        <w:t>由此产生的所有责任和后果均由乙方自行承担，</w:t>
      </w:r>
      <w:r>
        <w:rPr>
          <w:rFonts w:hint="eastAsia" w:ascii="仿宋" w:hAnsi="仿宋" w:eastAsia="仿宋"/>
          <w:color w:val="auto"/>
          <w:sz w:val="28"/>
          <w:szCs w:val="28"/>
          <w:highlight w:val="none"/>
          <w:lang w:val="zh-CN" w:bidi="zh-CN"/>
        </w:rPr>
        <w:t>甲方有权立即解除合同，并要求乙方退还甲方已支付的所有费用，且</w:t>
      </w:r>
      <w:r>
        <w:rPr>
          <w:rFonts w:hint="eastAsia" w:ascii="仿宋" w:hAnsi="仿宋" w:eastAsia="仿宋"/>
          <w:color w:val="auto"/>
          <w:sz w:val="28"/>
          <w:szCs w:val="28"/>
          <w:highlight w:val="none"/>
          <w:lang w:bidi="zh-CN"/>
        </w:rPr>
        <w:t>甲方</w:t>
      </w:r>
      <w:r>
        <w:rPr>
          <w:rFonts w:hint="eastAsia" w:ascii="仿宋" w:hAnsi="仿宋" w:eastAsia="仿宋"/>
          <w:color w:val="auto"/>
          <w:sz w:val="28"/>
          <w:szCs w:val="28"/>
          <w:highlight w:val="none"/>
          <w:lang w:val="zh-CN" w:bidi="zh-CN"/>
        </w:rPr>
        <w:t>不予退还乙方履约保证金，同时，甲方不再支付乙方剩余合同价款，乙方还应向甲方支付合同价的百分之十作为违约金，并赔偿由此给甲方造成的全部损失(包含退还甲方已支付乙方的所有工程款)。</w:t>
      </w:r>
    </w:p>
    <w:p w14:paraId="5E79E006">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(4)乙方未在</w:t>
      </w:r>
      <w:r>
        <w:rPr>
          <w:rFonts w:hint="eastAsia" w:ascii="仿宋" w:hAnsi="仿宋" w:eastAsia="仿宋"/>
          <w:color w:val="auto"/>
          <w:sz w:val="28"/>
          <w:szCs w:val="28"/>
          <w:highlight w:val="none"/>
          <w:lang w:bidi="zh-CN"/>
        </w:rPr>
        <w:t>甲方通知的</w:t>
      </w:r>
      <w:r>
        <w:rPr>
          <w:rFonts w:hint="eastAsia" w:ascii="仿宋" w:hAnsi="仿宋" w:eastAsia="仿宋"/>
          <w:color w:val="auto"/>
          <w:sz w:val="28"/>
          <w:szCs w:val="28"/>
          <w:highlight w:val="none"/>
          <w:lang w:val="zh-CN" w:bidi="zh-CN"/>
        </w:rPr>
        <w:t>时间内完成竣工验收整改或竣工验收整改后甲方验收仍无法达到要求的，甲方有权终止本合同，不予退还乙方的履约保证金且有权要求乙方全额退还甲方已经付给乙方的工程款及其利息，同时乙方应向甲方支付合同</w:t>
      </w:r>
      <w:r>
        <w:rPr>
          <w:rFonts w:hint="eastAsia" w:ascii="仿宋" w:hAnsi="仿宋" w:eastAsia="仿宋"/>
          <w:color w:val="auto"/>
          <w:sz w:val="28"/>
          <w:szCs w:val="28"/>
          <w:highlight w:val="none"/>
          <w:lang w:bidi="zh-CN"/>
        </w:rPr>
        <w:t>价</w:t>
      </w:r>
      <w:r>
        <w:rPr>
          <w:rFonts w:hint="eastAsia" w:ascii="仿宋" w:hAnsi="仿宋" w:eastAsia="仿宋"/>
          <w:color w:val="auto"/>
          <w:sz w:val="28"/>
          <w:szCs w:val="28"/>
          <w:highlight w:val="none"/>
          <w:lang w:val="zh-CN" w:bidi="zh-CN"/>
        </w:rPr>
        <w:t>百分之三十的违约金，并且甲方有权继续追究乙方由此给甲方造成的损失和乙方的法律责任。</w:t>
      </w:r>
    </w:p>
    <w:p w14:paraId="4C8204D4">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w:t>
      </w:r>
      <w:r>
        <w:rPr>
          <w:rFonts w:ascii="仿宋" w:hAnsi="仿宋" w:eastAsia="仿宋"/>
          <w:color w:val="auto"/>
          <w:sz w:val="28"/>
          <w:szCs w:val="28"/>
          <w:highlight w:val="none"/>
          <w:lang w:val="zh-CN" w:bidi="zh-CN"/>
        </w:rPr>
        <w:t>5)</w:t>
      </w:r>
      <w:r>
        <w:rPr>
          <w:rFonts w:hint="eastAsia" w:ascii="仿宋" w:hAnsi="仿宋" w:eastAsia="仿宋"/>
          <w:color w:val="auto"/>
          <w:sz w:val="28"/>
          <w:szCs w:val="28"/>
          <w:highlight w:val="none"/>
          <w:lang w:bidi="zh-CN"/>
        </w:rPr>
        <w:t>缺陷责任期内，</w:t>
      </w:r>
      <w:r>
        <w:rPr>
          <w:rFonts w:ascii="仿宋" w:hAnsi="仿宋" w:eastAsia="仿宋"/>
          <w:color w:val="auto"/>
          <w:sz w:val="28"/>
          <w:szCs w:val="28"/>
          <w:highlight w:val="none"/>
          <w:lang w:val="zh-CN" w:bidi="zh-CN"/>
        </w:rPr>
        <w:t>乙方未在约定时间内</w:t>
      </w:r>
      <w:r>
        <w:rPr>
          <w:rFonts w:hint="eastAsia" w:ascii="仿宋" w:hAnsi="仿宋" w:eastAsia="仿宋"/>
          <w:color w:val="auto"/>
          <w:sz w:val="28"/>
          <w:szCs w:val="28"/>
          <w:highlight w:val="none"/>
          <w:lang w:val="zh-CN" w:bidi="zh-CN"/>
        </w:rPr>
        <w:t>提供售后服务或完成售后服务整改，或整改后甲方验收仍无法达到要求的，甲方有权要求乙方向甲方支付合同</w:t>
      </w:r>
      <w:r>
        <w:rPr>
          <w:rFonts w:hint="eastAsia" w:ascii="仿宋" w:hAnsi="仿宋" w:eastAsia="仿宋"/>
          <w:color w:val="auto"/>
          <w:sz w:val="28"/>
          <w:szCs w:val="28"/>
          <w:highlight w:val="none"/>
          <w:lang w:bidi="zh-CN"/>
        </w:rPr>
        <w:t>价</w:t>
      </w:r>
      <w:r>
        <w:rPr>
          <w:rFonts w:hint="eastAsia" w:ascii="仿宋" w:hAnsi="仿宋" w:eastAsia="仿宋"/>
          <w:color w:val="auto"/>
          <w:sz w:val="28"/>
          <w:szCs w:val="28"/>
          <w:highlight w:val="none"/>
          <w:lang w:val="zh-CN" w:bidi="zh-CN"/>
        </w:rPr>
        <w:t>千分之三</w:t>
      </w:r>
      <w:r>
        <w:rPr>
          <w:rFonts w:hint="eastAsia" w:ascii="仿宋" w:hAnsi="仿宋" w:eastAsia="仿宋"/>
          <w:color w:val="auto"/>
          <w:sz w:val="28"/>
          <w:szCs w:val="28"/>
          <w:highlight w:val="none"/>
          <w:lang w:bidi="zh-CN"/>
        </w:rPr>
        <w:t>/次</w:t>
      </w:r>
      <w:r>
        <w:rPr>
          <w:rFonts w:hint="eastAsia" w:ascii="仿宋" w:hAnsi="仿宋" w:eastAsia="仿宋"/>
          <w:color w:val="auto"/>
          <w:sz w:val="28"/>
          <w:szCs w:val="28"/>
          <w:highlight w:val="none"/>
          <w:lang w:val="zh-CN" w:bidi="zh-CN"/>
        </w:rPr>
        <w:t>的违约金，并且甲方可委托他人修理，</w:t>
      </w:r>
      <w:r>
        <w:rPr>
          <w:rFonts w:hint="eastAsia" w:ascii="仿宋" w:hAnsi="仿宋" w:eastAsia="仿宋"/>
          <w:color w:val="auto"/>
          <w:sz w:val="28"/>
          <w:szCs w:val="28"/>
          <w:highlight w:val="none"/>
          <w:lang w:bidi="zh-CN"/>
        </w:rPr>
        <w:t>产生</w:t>
      </w:r>
      <w:r>
        <w:rPr>
          <w:rFonts w:hint="eastAsia" w:ascii="仿宋" w:hAnsi="仿宋" w:eastAsia="仿宋"/>
          <w:color w:val="auto"/>
          <w:sz w:val="28"/>
          <w:szCs w:val="28"/>
          <w:highlight w:val="none"/>
          <w:lang w:val="zh-CN" w:bidi="zh-CN"/>
        </w:rPr>
        <w:t>的费用从质保金中扣除</w:t>
      </w:r>
      <w:r>
        <w:rPr>
          <w:rFonts w:ascii="仿宋" w:hAnsi="仿宋" w:eastAsia="仿宋"/>
          <w:color w:val="auto"/>
          <w:sz w:val="28"/>
          <w:szCs w:val="28"/>
          <w:highlight w:val="none"/>
          <w:lang w:val="zh-CN" w:bidi="zh-CN"/>
        </w:rPr>
        <w:t>。质保金不足以支付上述费用时，由乙方进行补足。</w:t>
      </w:r>
      <w:r>
        <w:rPr>
          <w:rFonts w:hint="eastAsia" w:ascii="仿宋" w:hAnsi="仿宋" w:eastAsia="仿宋"/>
          <w:color w:val="auto"/>
          <w:sz w:val="28"/>
          <w:szCs w:val="28"/>
          <w:highlight w:val="none"/>
          <w:lang w:val="zh-CN" w:bidi="zh-CN"/>
        </w:rPr>
        <w:t>甲方有权继续追究乙方由此给甲方造成的损失和乙方的法律责任。</w:t>
      </w:r>
    </w:p>
    <w:p w14:paraId="3284B955">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w:t>
      </w:r>
      <w:r>
        <w:rPr>
          <w:rFonts w:ascii="仿宋" w:hAnsi="仿宋" w:eastAsia="仿宋"/>
          <w:color w:val="auto"/>
          <w:sz w:val="28"/>
          <w:szCs w:val="28"/>
          <w:highlight w:val="none"/>
          <w:lang w:val="zh-CN" w:bidi="zh-CN"/>
        </w:rPr>
        <w:t>6</w:t>
      </w:r>
      <w:r>
        <w:rPr>
          <w:rFonts w:hint="eastAsia" w:ascii="仿宋" w:hAnsi="仿宋" w:eastAsia="仿宋"/>
          <w:color w:val="auto"/>
          <w:sz w:val="28"/>
          <w:szCs w:val="28"/>
          <w:highlight w:val="none"/>
          <w:lang w:val="zh-CN" w:bidi="zh-CN"/>
        </w:rPr>
        <w:t>)甲方可直接从未支付乙方价款中按照约定扣除乙方应支付的违约金及赔偿款，乙方赔偿范围包括但不限于甲方直接损失、间接损失、律师费、差旅费、保全费等。乙方偿付的违约金不足以弥补甲方损失的，还应按甲方损失尚未弥补的部分，支付赔偿金给甲方。</w:t>
      </w:r>
    </w:p>
    <w:p w14:paraId="7F71B5DC">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w:t>
      </w:r>
      <w:r>
        <w:rPr>
          <w:rFonts w:ascii="仿宋" w:hAnsi="仿宋" w:eastAsia="仿宋"/>
          <w:color w:val="auto"/>
          <w:sz w:val="28"/>
          <w:szCs w:val="28"/>
          <w:highlight w:val="none"/>
          <w:lang w:val="zh-CN" w:bidi="zh-CN"/>
        </w:rPr>
        <w:t>7</w:t>
      </w:r>
      <w:r>
        <w:rPr>
          <w:rFonts w:hint="eastAsia" w:ascii="仿宋" w:hAnsi="仿宋" w:eastAsia="仿宋"/>
          <w:color w:val="auto"/>
          <w:sz w:val="28"/>
          <w:szCs w:val="28"/>
          <w:highlight w:val="none"/>
          <w:lang w:val="zh-CN" w:bidi="zh-CN"/>
        </w:rPr>
        <w:t>)如因乙方工作人员在履行职务过程中的疏忽、失职、过错等故意或者过失原因给甲方造成损失或侵害，包括但不限于工程质量事故、甲方本身的财产损失、由此而导致的甲方对任何第三方的法律责任等，乙方对此均应承担全部的赔偿责任。</w:t>
      </w:r>
    </w:p>
    <w:p w14:paraId="2D5571C4">
      <w:pPr>
        <w:wordWrap w:val="0"/>
        <w:autoSpaceDE w:val="0"/>
        <w:autoSpaceDN w:val="0"/>
        <w:ind w:firstLine="562" w:firstLineChars="200"/>
        <w:rPr>
          <w:rFonts w:ascii="仿宋" w:hAnsi="仿宋" w:eastAsia="仿宋"/>
          <w:b/>
          <w:bCs/>
          <w:color w:val="auto"/>
          <w:sz w:val="28"/>
          <w:szCs w:val="28"/>
          <w:highlight w:val="none"/>
          <w:lang w:val="zh-CN" w:bidi="zh-CN"/>
        </w:rPr>
      </w:pPr>
      <w:r>
        <w:rPr>
          <w:rFonts w:hint="eastAsia" w:ascii="仿宋" w:hAnsi="仿宋" w:eastAsia="仿宋"/>
          <w:b/>
          <w:bCs/>
          <w:color w:val="auto"/>
          <w:sz w:val="28"/>
          <w:szCs w:val="28"/>
          <w:highlight w:val="none"/>
          <w:lang w:bidi="zh-CN"/>
        </w:rPr>
        <w:t>十三</w:t>
      </w:r>
      <w:r>
        <w:rPr>
          <w:rFonts w:hint="eastAsia" w:ascii="仿宋" w:hAnsi="仿宋" w:eastAsia="仿宋"/>
          <w:b/>
          <w:bCs/>
          <w:color w:val="auto"/>
          <w:sz w:val="28"/>
          <w:szCs w:val="28"/>
          <w:highlight w:val="none"/>
          <w:lang w:val="zh-CN" w:bidi="zh-CN"/>
        </w:rPr>
        <w:t>、解决争议的方式</w:t>
      </w:r>
    </w:p>
    <w:p w14:paraId="0FDB87E0">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1.因工程的质量问题发生争议，由</w:t>
      </w:r>
      <w:r>
        <w:rPr>
          <w:rFonts w:hint="eastAsia" w:ascii="仿宋" w:hAnsi="仿宋" w:eastAsia="仿宋"/>
          <w:color w:val="auto"/>
          <w:kern w:val="0"/>
          <w:sz w:val="28"/>
          <w:szCs w:val="28"/>
          <w:highlight w:val="none"/>
          <w:lang w:bidi="zh-CN"/>
        </w:rPr>
        <w:t>甲方</w:t>
      </w:r>
      <w:r>
        <w:rPr>
          <w:rFonts w:hint="eastAsia" w:ascii="仿宋" w:hAnsi="仿宋" w:eastAsia="仿宋"/>
          <w:color w:val="auto"/>
          <w:kern w:val="0"/>
          <w:sz w:val="28"/>
          <w:szCs w:val="28"/>
          <w:highlight w:val="none"/>
          <w:lang w:val="zh-CN" w:bidi="zh-CN"/>
        </w:rPr>
        <w:t>或其指定的第三方机构进行质量鉴定。工程符合标准的，鉴定费由</w:t>
      </w:r>
      <w:r>
        <w:rPr>
          <w:rFonts w:hint="eastAsia" w:ascii="仿宋" w:hAnsi="仿宋" w:eastAsia="仿宋"/>
          <w:color w:val="auto"/>
          <w:kern w:val="0"/>
          <w:sz w:val="28"/>
          <w:szCs w:val="28"/>
          <w:highlight w:val="none"/>
          <w:lang w:bidi="zh-CN"/>
        </w:rPr>
        <w:t>甲方</w:t>
      </w:r>
      <w:r>
        <w:rPr>
          <w:rFonts w:hint="eastAsia" w:ascii="仿宋" w:hAnsi="仿宋" w:eastAsia="仿宋"/>
          <w:color w:val="auto"/>
          <w:kern w:val="0"/>
          <w:sz w:val="28"/>
          <w:szCs w:val="28"/>
          <w:highlight w:val="none"/>
          <w:lang w:val="zh-CN" w:bidi="zh-CN"/>
        </w:rPr>
        <w:t>承担；工程不符合质量标准的，鉴定费由</w:t>
      </w:r>
      <w:r>
        <w:rPr>
          <w:rFonts w:hint="eastAsia" w:ascii="仿宋" w:hAnsi="仿宋" w:eastAsia="仿宋"/>
          <w:color w:val="auto"/>
          <w:kern w:val="0"/>
          <w:sz w:val="28"/>
          <w:szCs w:val="28"/>
          <w:highlight w:val="none"/>
          <w:lang w:bidi="zh-CN"/>
        </w:rPr>
        <w:t>乙方</w:t>
      </w:r>
      <w:r>
        <w:rPr>
          <w:rFonts w:hint="eastAsia" w:ascii="仿宋" w:hAnsi="仿宋" w:eastAsia="仿宋"/>
          <w:color w:val="auto"/>
          <w:kern w:val="0"/>
          <w:sz w:val="28"/>
          <w:szCs w:val="28"/>
          <w:highlight w:val="none"/>
          <w:lang w:val="zh-CN" w:bidi="zh-CN"/>
        </w:rPr>
        <w:t>承担。</w:t>
      </w:r>
    </w:p>
    <w:p w14:paraId="2E969BB3">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2.合同履行期间，若双方发生争议，双方应通过友好协商解决，经协商不能达成协议时，应向</w:t>
      </w:r>
      <w:r>
        <w:rPr>
          <w:rFonts w:hint="eastAsia" w:ascii="仿宋" w:hAnsi="仿宋" w:eastAsia="仿宋"/>
          <w:color w:val="auto"/>
          <w:kern w:val="0"/>
          <w:sz w:val="28"/>
          <w:szCs w:val="28"/>
          <w:highlight w:val="none"/>
          <w:lang w:bidi="zh-CN"/>
        </w:rPr>
        <w:t>甲方</w:t>
      </w:r>
      <w:r>
        <w:rPr>
          <w:rFonts w:hint="eastAsia" w:ascii="仿宋" w:hAnsi="仿宋" w:eastAsia="仿宋"/>
          <w:color w:val="auto"/>
          <w:kern w:val="0"/>
          <w:sz w:val="28"/>
          <w:szCs w:val="28"/>
          <w:highlight w:val="none"/>
          <w:lang w:val="zh-CN" w:bidi="zh-CN"/>
        </w:rPr>
        <w:t>所在地人民法院提起诉讼，除判决另有规定外，一切涉诉合理费用（</w:t>
      </w:r>
      <w:r>
        <w:rPr>
          <w:rFonts w:hint="eastAsia" w:ascii="仿宋" w:hAnsi="仿宋" w:eastAsia="仿宋"/>
          <w:color w:val="auto"/>
          <w:kern w:val="0"/>
          <w:sz w:val="28"/>
          <w:szCs w:val="28"/>
          <w:highlight w:val="none"/>
          <w:lang w:bidi="zh-CN"/>
        </w:rPr>
        <w:t>包括但不限于诉讼费、律师费、保全费、公告费等</w:t>
      </w:r>
      <w:r>
        <w:rPr>
          <w:rFonts w:hint="eastAsia" w:ascii="仿宋" w:hAnsi="仿宋" w:eastAsia="仿宋"/>
          <w:color w:val="auto"/>
          <w:kern w:val="0"/>
          <w:sz w:val="28"/>
          <w:szCs w:val="28"/>
          <w:highlight w:val="none"/>
          <w:lang w:val="zh-CN" w:bidi="zh-CN"/>
        </w:rPr>
        <w:t>）均</w:t>
      </w:r>
      <w:r>
        <w:rPr>
          <w:rFonts w:hint="eastAsia" w:ascii="仿宋" w:hAnsi="仿宋" w:eastAsia="仿宋"/>
          <w:color w:val="auto"/>
          <w:kern w:val="0"/>
          <w:sz w:val="28"/>
          <w:szCs w:val="28"/>
          <w:highlight w:val="none"/>
          <w:lang w:bidi="zh-CN"/>
        </w:rPr>
        <w:t>由</w:t>
      </w:r>
      <w:r>
        <w:rPr>
          <w:rFonts w:hint="eastAsia" w:ascii="仿宋" w:hAnsi="仿宋" w:eastAsia="仿宋"/>
          <w:color w:val="auto"/>
          <w:kern w:val="0"/>
          <w:sz w:val="28"/>
          <w:szCs w:val="28"/>
          <w:highlight w:val="none"/>
          <w:lang w:val="zh-CN" w:bidi="zh-CN"/>
        </w:rPr>
        <w:t>违约方承担。</w:t>
      </w:r>
    </w:p>
    <w:p w14:paraId="77D5692F">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3.在诉讼期间，除正在进行诉讼的部分外，合同其他部分继续执行。</w:t>
      </w:r>
    </w:p>
    <w:p w14:paraId="2FE3F0B8">
      <w:pPr>
        <w:wordWrap w:val="0"/>
        <w:autoSpaceDE w:val="0"/>
        <w:autoSpaceDN w:val="0"/>
        <w:ind w:firstLine="562" w:firstLineChars="200"/>
        <w:rPr>
          <w:rFonts w:ascii="仿宋" w:hAnsi="仿宋" w:eastAsia="仿宋"/>
          <w:b/>
          <w:bCs/>
          <w:color w:val="auto"/>
          <w:sz w:val="28"/>
          <w:szCs w:val="28"/>
          <w:highlight w:val="none"/>
          <w:lang w:val="zh-CN" w:bidi="zh-CN"/>
        </w:rPr>
      </w:pPr>
      <w:r>
        <w:rPr>
          <w:rFonts w:hint="eastAsia" w:ascii="仿宋" w:hAnsi="仿宋" w:eastAsia="仿宋"/>
          <w:b/>
          <w:bCs/>
          <w:color w:val="auto"/>
          <w:sz w:val="28"/>
          <w:szCs w:val="28"/>
          <w:highlight w:val="none"/>
          <w:lang w:bidi="zh-CN"/>
        </w:rPr>
        <w:t>十四</w:t>
      </w:r>
      <w:r>
        <w:rPr>
          <w:rFonts w:hint="eastAsia" w:ascii="仿宋" w:hAnsi="仿宋" w:eastAsia="仿宋"/>
          <w:b/>
          <w:bCs/>
          <w:color w:val="auto"/>
          <w:sz w:val="28"/>
          <w:szCs w:val="28"/>
          <w:highlight w:val="none"/>
          <w:lang w:val="zh-CN" w:bidi="zh-CN"/>
        </w:rPr>
        <w:t>、团队要求</w:t>
      </w:r>
    </w:p>
    <w:p w14:paraId="478E7B2F">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1.</w:t>
      </w:r>
      <w:r>
        <w:rPr>
          <w:rFonts w:hint="eastAsia" w:ascii="仿宋" w:hAnsi="仿宋" w:eastAsia="仿宋"/>
          <w:color w:val="auto"/>
          <w:sz w:val="28"/>
          <w:szCs w:val="28"/>
          <w:highlight w:val="none"/>
          <w:lang w:val="zh-CN" w:bidi="zh-CN"/>
        </w:rPr>
        <w:t>乙方项目经理：X</w:t>
      </w:r>
      <w:r>
        <w:rPr>
          <w:rFonts w:ascii="仿宋" w:hAnsi="仿宋" w:eastAsia="仿宋"/>
          <w:color w:val="auto"/>
          <w:sz w:val="28"/>
          <w:szCs w:val="28"/>
          <w:highlight w:val="none"/>
          <w:lang w:val="zh-CN" w:bidi="zh-CN"/>
        </w:rPr>
        <w:t>XX</w:t>
      </w:r>
      <w:r>
        <w:rPr>
          <w:rFonts w:hint="eastAsia" w:ascii="仿宋" w:hAnsi="仿宋" w:eastAsia="仿宋"/>
          <w:color w:val="auto"/>
          <w:sz w:val="28"/>
          <w:szCs w:val="28"/>
          <w:highlight w:val="none"/>
          <w:lang w:bidi="zh-CN"/>
        </w:rPr>
        <w:t xml:space="preserve"> 联系电话：</w:t>
      </w:r>
      <w:r>
        <w:rPr>
          <w:rFonts w:ascii="仿宋" w:hAnsi="仿宋" w:eastAsia="仿宋"/>
          <w:color w:val="auto"/>
          <w:sz w:val="28"/>
          <w:szCs w:val="28"/>
          <w:highlight w:val="none"/>
          <w:lang w:bidi="zh-CN"/>
        </w:rPr>
        <w:t>XXXXX</w:t>
      </w:r>
    </w:p>
    <w:p w14:paraId="06D139F6">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2.技术负责人</w:t>
      </w:r>
      <w:r>
        <w:rPr>
          <w:rFonts w:hint="eastAsia" w:ascii="仿宋" w:hAnsi="仿宋" w:eastAsia="仿宋"/>
          <w:color w:val="auto"/>
          <w:sz w:val="28"/>
          <w:szCs w:val="28"/>
          <w:highlight w:val="none"/>
          <w:lang w:val="zh-CN" w:bidi="zh-CN"/>
        </w:rPr>
        <w:t>：X</w:t>
      </w:r>
      <w:r>
        <w:rPr>
          <w:rFonts w:ascii="仿宋" w:hAnsi="仿宋" w:eastAsia="仿宋"/>
          <w:color w:val="auto"/>
          <w:sz w:val="28"/>
          <w:szCs w:val="28"/>
          <w:highlight w:val="none"/>
          <w:lang w:val="zh-CN" w:bidi="zh-CN"/>
        </w:rPr>
        <w:t>XX</w:t>
      </w:r>
      <w:r>
        <w:rPr>
          <w:rFonts w:ascii="仿宋" w:hAnsi="仿宋" w:eastAsia="仿宋"/>
          <w:color w:val="auto"/>
          <w:sz w:val="28"/>
          <w:szCs w:val="28"/>
          <w:highlight w:val="none"/>
          <w:lang w:bidi="zh-CN"/>
        </w:rPr>
        <w:t xml:space="preserve">   </w:t>
      </w:r>
      <w:r>
        <w:rPr>
          <w:rFonts w:hint="eastAsia" w:ascii="仿宋" w:hAnsi="仿宋" w:eastAsia="仿宋"/>
          <w:color w:val="auto"/>
          <w:sz w:val="28"/>
          <w:szCs w:val="28"/>
          <w:highlight w:val="none"/>
          <w:lang w:bidi="zh-CN"/>
        </w:rPr>
        <w:t>联系电话：</w:t>
      </w:r>
      <w:r>
        <w:rPr>
          <w:rFonts w:ascii="仿宋" w:hAnsi="仿宋" w:eastAsia="仿宋"/>
          <w:color w:val="auto"/>
          <w:sz w:val="28"/>
          <w:szCs w:val="28"/>
          <w:highlight w:val="none"/>
          <w:lang w:bidi="zh-CN"/>
        </w:rPr>
        <w:t>XXXXX</w:t>
      </w:r>
    </w:p>
    <w:p w14:paraId="5B93E578">
      <w:pPr>
        <w:wordWrap w:val="0"/>
        <w:autoSpaceDE w:val="0"/>
        <w:autoSpaceDN w:val="0"/>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乙方不得随意更换人员，若因特殊原因需要更换人员的，需提前5日告知甲方并征得甲方同意；若乙方擅自更换人员的，相关责任与后果由乙方自行承担，甲方有权解除合同并要求乙方退还甲方已支付的全部费用。</w:t>
      </w:r>
    </w:p>
    <w:p w14:paraId="167346F1">
      <w:pPr>
        <w:pStyle w:val="17"/>
        <w:ind w:firstLine="560" w:firstLineChars="200"/>
        <w:rPr>
          <w:rFonts w:ascii="仿宋" w:hAnsi="仿宋" w:eastAsia="仿宋"/>
          <w:color w:val="auto"/>
          <w:sz w:val="28"/>
          <w:szCs w:val="28"/>
          <w:highlight w:val="none"/>
          <w:lang w:bidi="zh-CN"/>
        </w:rPr>
      </w:pPr>
      <w:r>
        <w:rPr>
          <w:rFonts w:hint="eastAsia" w:ascii="仿宋" w:hAnsi="仿宋" w:eastAsia="仿宋"/>
          <w:color w:val="auto"/>
          <w:sz w:val="28"/>
          <w:szCs w:val="28"/>
          <w:highlight w:val="none"/>
          <w:lang w:bidi="zh-CN"/>
        </w:rPr>
        <w:t>除项目经理、技术负责人以外，项目至少需配置安全员（需具备安全生产考核合格证</w:t>
      </w:r>
      <w:r>
        <w:rPr>
          <w:rFonts w:ascii="仿宋" w:hAnsi="仿宋" w:eastAsia="仿宋"/>
          <w:color w:val="auto"/>
          <w:sz w:val="28"/>
          <w:szCs w:val="28"/>
          <w:highlight w:val="none"/>
          <w:lang w:bidi="zh-CN"/>
        </w:rPr>
        <w:t>C证）</w:t>
      </w:r>
      <w:r>
        <w:rPr>
          <w:rFonts w:hint="eastAsia" w:ascii="仿宋" w:hAnsi="仿宋" w:eastAsia="仿宋"/>
          <w:color w:val="auto"/>
          <w:sz w:val="28"/>
          <w:szCs w:val="28"/>
          <w:highlight w:val="none"/>
          <w:u w:val="single"/>
          <w:lang w:bidi="zh-CN"/>
        </w:rPr>
        <w:t>X</w:t>
      </w:r>
      <w:r>
        <w:rPr>
          <w:rFonts w:ascii="仿宋" w:hAnsi="仿宋" w:eastAsia="仿宋"/>
          <w:color w:val="auto"/>
          <w:sz w:val="28"/>
          <w:szCs w:val="28"/>
          <w:highlight w:val="none"/>
          <w:u w:val="single"/>
          <w:lang w:bidi="zh-CN"/>
        </w:rPr>
        <w:t>XX</w:t>
      </w:r>
      <w:r>
        <w:rPr>
          <w:rFonts w:ascii="仿宋" w:hAnsi="仿宋" w:eastAsia="仿宋"/>
          <w:color w:val="auto"/>
          <w:sz w:val="28"/>
          <w:szCs w:val="28"/>
          <w:highlight w:val="none"/>
          <w:lang w:bidi="zh-CN"/>
        </w:rPr>
        <w:t>、施工员</w:t>
      </w:r>
      <w:r>
        <w:rPr>
          <w:rFonts w:ascii="仿宋" w:hAnsi="仿宋" w:eastAsia="仿宋"/>
          <w:color w:val="auto"/>
          <w:sz w:val="28"/>
          <w:szCs w:val="28"/>
          <w:highlight w:val="none"/>
          <w:u w:val="single"/>
          <w:lang w:bidi="zh-CN"/>
        </w:rPr>
        <w:t xml:space="preserve"> </w:t>
      </w:r>
      <w:r>
        <w:rPr>
          <w:rFonts w:hint="eastAsia" w:ascii="仿宋" w:hAnsi="仿宋" w:eastAsia="仿宋"/>
          <w:color w:val="auto"/>
          <w:sz w:val="28"/>
          <w:szCs w:val="28"/>
          <w:highlight w:val="none"/>
          <w:u w:val="single"/>
          <w:lang w:bidi="zh-CN"/>
        </w:rPr>
        <w:t>X</w:t>
      </w:r>
      <w:r>
        <w:rPr>
          <w:rFonts w:ascii="仿宋" w:hAnsi="仿宋" w:eastAsia="仿宋"/>
          <w:color w:val="auto"/>
          <w:sz w:val="28"/>
          <w:szCs w:val="28"/>
          <w:highlight w:val="none"/>
          <w:u w:val="single"/>
          <w:lang w:bidi="zh-CN"/>
        </w:rPr>
        <w:t>XX</w:t>
      </w:r>
      <w:r>
        <w:rPr>
          <w:rFonts w:hint="eastAsia" w:ascii="仿宋" w:hAnsi="仿宋" w:eastAsia="仿宋"/>
          <w:color w:val="auto"/>
          <w:sz w:val="28"/>
          <w:szCs w:val="28"/>
          <w:highlight w:val="none"/>
          <w:lang w:bidi="zh-CN"/>
        </w:rPr>
        <w:t xml:space="preserve"> </w:t>
      </w:r>
      <w:r>
        <w:rPr>
          <w:rFonts w:ascii="仿宋" w:hAnsi="仿宋" w:eastAsia="仿宋"/>
          <w:color w:val="auto"/>
          <w:sz w:val="28"/>
          <w:szCs w:val="28"/>
          <w:highlight w:val="none"/>
          <w:lang w:bidi="zh-CN"/>
        </w:rPr>
        <w:t>、资料员</w:t>
      </w:r>
      <w:r>
        <w:rPr>
          <w:rFonts w:hint="eastAsia" w:ascii="仿宋" w:hAnsi="仿宋" w:eastAsia="仿宋"/>
          <w:color w:val="auto"/>
          <w:sz w:val="28"/>
          <w:szCs w:val="28"/>
          <w:highlight w:val="none"/>
          <w:lang w:bidi="zh-CN"/>
        </w:rPr>
        <w:t>X</w:t>
      </w:r>
      <w:r>
        <w:rPr>
          <w:rFonts w:ascii="仿宋" w:hAnsi="仿宋" w:eastAsia="仿宋"/>
          <w:color w:val="auto"/>
          <w:sz w:val="28"/>
          <w:szCs w:val="28"/>
          <w:highlight w:val="none"/>
          <w:lang w:bidi="zh-CN"/>
        </w:rPr>
        <w:t>XX</w:t>
      </w:r>
      <w:r>
        <w:rPr>
          <w:rFonts w:ascii="仿宋" w:hAnsi="仿宋" w:eastAsia="仿宋"/>
          <w:color w:val="auto"/>
          <w:sz w:val="28"/>
          <w:szCs w:val="28"/>
          <w:highlight w:val="none"/>
          <w:u w:val="single"/>
          <w:lang w:bidi="zh-CN"/>
        </w:rPr>
        <w:t xml:space="preserve"> </w:t>
      </w:r>
      <w:r>
        <w:rPr>
          <w:rFonts w:ascii="仿宋" w:hAnsi="仿宋" w:eastAsia="仿宋"/>
          <w:color w:val="auto"/>
          <w:sz w:val="28"/>
          <w:szCs w:val="28"/>
          <w:highlight w:val="none"/>
          <w:lang w:bidi="zh-CN"/>
        </w:rPr>
        <w:t>。</w:t>
      </w:r>
    </w:p>
    <w:p w14:paraId="33E03AF8">
      <w:pPr>
        <w:wordWrap w:val="0"/>
        <w:autoSpaceDE w:val="0"/>
        <w:autoSpaceDN w:val="0"/>
        <w:ind w:firstLine="562" w:firstLineChars="200"/>
        <w:rPr>
          <w:rFonts w:ascii="仿宋" w:hAnsi="仿宋" w:eastAsia="仿宋"/>
          <w:b/>
          <w:bCs/>
          <w:color w:val="auto"/>
          <w:sz w:val="28"/>
          <w:szCs w:val="28"/>
          <w:highlight w:val="none"/>
          <w:lang w:val="zh-CN" w:bidi="zh-CN"/>
        </w:rPr>
      </w:pPr>
      <w:r>
        <w:rPr>
          <w:rFonts w:hint="eastAsia" w:ascii="仿宋" w:hAnsi="仿宋" w:eastAsia="仿宋"/>
          <w:b/>
          <w:bCs/>
          <w:color w:val="auto"/>
          <w:sz w:val="28"/>
          <w:szCs w:val="28"/>
          <w:highlight w:val="none"/>
          <w:lang w:bidi="zh-CN"/>
        </w:rPr>
        <w:t>十五</w:t>
      </w:r>
      <w:r>
        <w:rPr>
          <w:rFonts w:hint="eastAsia" w:ascii="仿宋" w:hAnsi="仿宋" w:eastAsia="仿宋"/>
          <w:b/>
          <w:bCs/>
          <w:color w:val="auto"/>
          <w:sz w:val="28"/>
          <w:szCs w:val="28"/>
          <w:highlight w:val="none"/>
          <w:lang w:val="zh-CN" w:bidi="zh-CN"/>
        </w:rPr>
        <w:t>、承诺</w:t>
      </w:r>
    </w:p>
    <w:p w14:paraId="0DEDD502">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1.甲方承诺按照法律规定履行项目审批手续、筹集工程建设资金并按照合同约定的期限和方式支付合同价款。</w:t>
      </w:r>
    </w:p>
    <w:p w14:paraId="0A288B35">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2.乙方承诺按照法律规定及合同约定组织完成工程施工，确保工程质量和安全，不进行转包及违法分包，并在缺陷责任期及保修期内承担相应的工程维修责任。</w:t>
      </w:r>
    </w:p>
    <w:p w14:paraId="47C0D8B6">
      <w:pPr>
        <w:wordWrap w:val="0"/>
        <w:autoSpaceDE w:val="0"/>
        <w:autoSpaceDN w:val="0"/>
        <w:ind w:firstLine="560" w:firstLineChars="200"/>
        <w:rPr>
          <w:rFonts w:ascii="仿宋" w:hAnsi="仿宋" w:eastAsia="仿宋"/>
          <w:color w:val="auto"/>
          <w:sz w:val="28"/>
          <w:szCs w:val="28"/>
          <w:highlight w:val="none"/>
          <w:lang w:val="zh-CN" w:bidi="zh-CN"/>
        </w:rPr>
      </w:pPr>
      <w:r>
        <w:rPr>
          <w:rFonts w:hint="eastAsia" w:ascii="仿宋" w:hAnsi="仿宋" w:eastAsia="仿宋"/>
          <w:color w:val="auto"/>
          <w:sz w:val="28"/>
          <w:szCs w:val="28"/>
          <w:highlight w:val="none"/>
          <w:lang w:val="zh-CN" w:bidi="zh-CN"/>
        </w:rPr>
        <w:t>3.甲方和乙方通过采购形式签订合同的，双方理解并承诺不再就同一工程另行签订与合同实质性内容相背离的协议。</w:t>
      </w:r>
    </w:p>
    <w:p w14:paraId="5FE83927">
      <w:pPr>
        <w:wordWrap w:val="0"/>
        <w:autoSpaceDE w:val="0"/>
        <w:autoSpaceDN w:val="0"/>
        <w:ind w:firstLine="560" w:firstLineChars="20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val="en-US" w:bidi="zh-CN"/>
        </w:rPr>
        <w:t>4.</w:t>
      </w:r>
      <w:r>
        <w:rPr>
          <w:rFonts w:hint="eastAsia" w:ascii="仿宋" w:hAnsi="仿宋" w:eastAsia="仿宋"/>
          <w:color w:val="auto"/>
          <w:kern w:val="0"/>
          <w:sz w:val="28"/>
          <w:szCs w:val="28"/>
          <w:highlight w:val="none"/>
          <w:lang w:bidi="zh-CN"/>
        </w:rPr>
        <w:t>施工完成后，竣工验收前，</w:t>
      </w:r>
      <w:r>
        <w:rPr>
          <w:rFonts w:hint="eastAsia" w:ascii="仿宋" w:hAnsi="仿宋" w:eastAsia="仿宋"/>
          <w:color w:val="auto"/>
          <w:kern w:val="0"/>
          <w:sz w:val="28"/>
          <w:szCs w:val="28"/>
          <w:highlight w:val="none"/>
          <w:lang w:val="en-US" w:bidi="zh-CN"/>
        </w:rPr>
        <w:t>乙方</w:t>
      </w:r>
      <w:r>
        <w:rPr>
          <w:rFonts w:hint="eastAsia" w:ascii="仿宋" w:hAnsi="仿宋" w:eastAsia="仿宋"/>
          <w:color w:val="auto"/>
          <w:kern w:val="0"/>
          <w:sz w:val="28"/>
          <w:szCs w:val="28"/>
          <w:highlight w:val="none"/>
          <w:lang w:bidi="zh-CN"/>
        </w:rPr>
        <w:t>提供有资质的空气检测单位出具的室内空气检测合格报告，费用应含在本</w:t>
      </w:r>
      <w:r>
        <w:rPr>
          <w:rFonts w:hint="eastAsia" w:ascii="仿宋" w:hAnsi="仿宋" w:eastAsia="仿宋"/>
          <w:color w:val="auto"/>
          <w:kern w:val="0"/>
          <w:sz w:val="28"/>
          <w:szCs w:val="28"/>
          <w:highlight w:val="none"/>
          <w:lang w:val="en-US" w:bidi="zh-CN"/>
        </w:rPr>
        <w:t>合同</w:t>
      </w:r>
      <w:r>
        <w:rPr>
          <w:rFonts w:hint="eastAsia" w:ascii="仿宋" w:hAnsi="仿宋" w:eastAsia="仿宋"/>
          <w:color w:val="auto"/>
          <w:kern w:val="0"/>
          <w:sz w:val="28"/>
          <w:szCs w:val="28"/>
          <w:highlight w:val="none"/>
          <w:lang w:bidi="zh-CN"/>
        </w:rPr>
        <w:t>中。</w:t>
      </w:r>
    </w:p>
    <w:p w14:paraId="12C883AE">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val="zh-CN" w:bidi="zh-CN"/>
        </w:rPr>
        <w:t>十六、词语含义</w:t>
      </w:r>
    </w:p>
    <w:p w14:paraId="15824F0C">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本协议书中词语含义与第</w:t>
      </w:r>
      <w:r>
        <w:rPr>
          <w:rFonts w:hint="eastAsia" w:ascii="仿宋" w:hAnsi="仿宋" w:eastAsia="仿宋"/>
          <w:color w:val="auto"/>
          <w:kern w:val="0"/>
          <w:sz w:val="28"/>
          <w:szCs w:val="28"/>
          <w:highlight w:val="none"/>
          <w:lang w:bidi="zh-CN"/>
        </w:rPr>
        <w:t>三</w:t>
      </w:r>
      <w:r>
        <w:rPr>
          <w:rFonts w:hint="eastAsia" w:ascii="仿宋" w:hAnsi="仿宋" w:eastAsia="仿宋"/>
          <w:color w:val="auto"/>
          <w:kern w:val="0"/>
          <w:sz w:val="28"/>
          <w:szCs w:val="28"/>
          <w:highlight w:val="none"/>
          <w:lang w:val="zh-CN" w:bidi="zh-CN"/>
        </w:rPr>
        <w:t>部分通用合同条款中赋予的含义相同。</w:t>
      </w:r>
    </w:p>
    <w:p w14:paraId="6689970F">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val="zh-CN" w:bidi="zh-CN"/>
        </w:rPr>
        <w:t>十七、合同文件构成</w:t>
      </w:r>
    </w:p>
    <w:p w14:paraId="0C36C6CB">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本协议书与下列文件一起构成合同文件：</w:t>
      </w:r>
    </w:p>
    <w:p w14:paraId="63FA56D8">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(1)成交通知书；</w:t>
      </w:r>
    </w:p>
    <w:p w14:paraId="0F34F5D8">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(2)响应函；</w:t>
      </w:r>
    </w:p>
    <w:p w14:paraId="2A6AEC94">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(3)专用合同条款及其附件；</w:t>
      </w:r>
    </w:p>
    <w:p w14:paraId="44D8782F">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(4)通用合同条款；</w:t>
      </w:r>
    </w:p>
    <w:p w14:paraId="41E06A36">
      <w:pPr>
        <w:wordWrap w:val="0"/>
        <w:autoSpaceDE w:val="0"/>
        <w:autoSpaceDN w:val="0"/>
        <w:ind w:firstLine="560" w:firstLineChars="200"/>
        <w:rPr>
          <w:rFonts w:ascii="仿宋" w:hAnsi="仿宋" w:eastAsia="仿宋"/>
          <w:color w:val="auto"/>
          <w:kern w:val="0"/>
          <w:sz w:val="28"/>
          <w:szCs w:val="28"/>
          <w:highlight w:val="none"/>
          <w:lang w:bidi="zh-CN"/>
        </w:rPr>
      </w:pPr>
      <w:r>
        <w:rPr>
          <w:rFonts w:ascii="仿宋" w:hAnsi="仿宋" w:eastAsia="仿宋"/>
          <w:color w:val="auto"/>
          <w:kern w:val="0"/>
          <w:sz w:val="28"/>
          <w:szCs w:val="28"/>
          <w:highlight w:val="none"/>
          <w:lang w:val="zh-CN" w:bidi="zh-CN"/>
        </w:rPr>
        <w:t>(5)</w:t>
      </w:r>
      <w:r>
        <w:rPr>
          <w:rFonts w:hint="eastAsia" w:ascii="仿宋" w:hAnsi="仿宋" w:eastAsia="仿宋"/>
          <w:color w:val="auto"/>
          <w:kern w:val="0"/>
          <w:sz w:val="28"/>
          <w:szCs w:val="28"/>
          <w:highlight w:val="none"/>
          <w:lang w:bidi="zh-CN"/>
        </w:rPr>
        <w:t>甲方的谈判文件；</w:t>
      </w:r>
    </w:p>
    <w:p w14:paraId="020D3C34">
      <w:pPr>
        <w:wordWrap w:val="0"/>
        <w:autoSpaceDE w:val="0"/>
        <w:autoSpaceDN w:val="0"/>
        <w:ind w:firstLine="560" w:firstLineChars="200"/>
        <w:rPr>
          <w:rFonts w:ascii="仿宋" w:hAnsi="仿宋" w:eastAsia="仿宋"/>
          <w:bCs/>
          <w:color w:val="auto"/>
          <w:sz w:val="28"/>
          <w:szCs w:val="28"/>
          <w:highlight w:val="none"/>
          <w:lang w:bidi="zh-CN"/>
        </w:rPr>
      </w:pPr>
      <w:r>
        <w:rPr>
          <w:rFonts w:ascii="仿宋" w:hAnsi="仿宋" w:eastAsia="仿宋"/>
          <w:bCs/>
          <w:color w:val="auto"/>
          <w:sz w:val="28"/>
          <w:szCs w:val="28"/>
          <w:highlight w:val="none"/>
          <w:lang w:val="zh-CN" w:bidi="zh-CN"/>
        </w:rPr>
        <w:t>(</w:t>
      </w:r>
      <w:r>
        <w:rPr>
          <w:rFonts w:ascii="仿宋" w:hAnsi="仿宋" w:eastAsia="仿宋"/>
          <w:bCs/>
          <w:color w:val="auto"/>
          <w:sz w:val="28"/>
          <w:szCs w:val="28"/>
          <w:highlight w:val="none"/>
          <w:lang w:bidi="zh-CN"/>
        </w:rPr>
        <w:t>6)乙方响应文件；</w:t>
      </w:r>
    </w:p>
    <w:p w14:paraId="3F11E7B8">
      <w:pPr>
        <w:wordWrap w:val="0"/>
        <w:autoSpaceDE w:val="0"/>
        <w:autoSpaceDN w:val="0"/>
        <w:ind w:firstLine="560" w:firstLineChars="20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bidi="zh-CN"/>
        </w:rPr>
        <w:t>(7)房屋建筑工程质量保修书；</w:t>
      </w:r>
    </w:p>
    <w:p w14:paraId="24F9E995">
      <w:pPr>
        <w:wordWrap w:val="0"/>
        <w:autoSpaceDE w:val="0"/>
        <w:autoSpaceDN w:val="0"/>
        <w:ind w:firstLine="560" w:firstLineChars="20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val="zh-CN" w:bidi="zh-CN"/>
        </w:rPr>
        <w:t>上述各项合同文件包括合同当事人就该项合同文件所作出的补充和修改，属于同一类内容的文件，应以最新签署的为准。专用合同条款及其附件须经合同当事人签字、盖章。</w:t>
      </w:r>
    </w:p>
    <w:p w14:paraId="7E9ADA96">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bidi="zh-CN"/>
        </w:rPr>
        <w:t>十八</w:t>
      </w:r>
      <w:r>
        <w:rPr>
          <w:rFonts w:hint="eastAsia" w:ascii="仿宋" w:hAnsi="仿宋" w:eastAsia="仿宋"/>
          <w:b/>
          <w:color w:val="auto"/>
          <w:kern w:val="0"/>
          <w:sz w:val="28"/>
          <w:szCs w:val="28"/>
          <w:highlight w:val="none"/>
          <w:lang w:val="zh-CN" w:bidi="zh-CN"/>
        </w:rPr>
        <w:t>、补充协议</w:t>
      </w:r>
    </w:p>
    <w:p w14:paraId="081F1685">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合同未尽事宜，合同当事人另行签订补充协议，补充协议是合同的组成部分。补充合同与本合同具有同等法律效力。</w:t>
      </w:r>
    </w:p>
    <w:p w14:paraId="102011E6">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bidi="zh-CN"/>
        </w:rPr>
        <w:t>十九</w:t>
      </w:r>
      <w:r>
        <w:rPr>
          <w:rFonts w:hint="eastAsia" w:ascii="仿宋" w:hAnsi="仿宋" w:eastAsia="仿宋"/>
          <w:b/>
          <w:color w:val="auto"/>
          <w:kern w:val="0"/>
          <w:sz w:val="28"/>
          <w:szCs w:val="28"/>
          <w:highlight w:val="none"/>
          <w:lang w:val="zh-CN" w:bidi="zh-CN"/>
        </w:rPr>
        <w:t>、合同生效</w:t>
      </w:r>
    </w:p>
    <w:p w14:paraId="34082C0A">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本合同自乙方</w:t>
      </w:r>
      <w:r>
        <w:rPr>
          <w:rFonts w:hint="eastAsia" w:ascii="仿宋" w:hAnsi="仿宋" w:eastAsia="仿宋"/>
          <w:color w:val="auto"/>
          <w:kern w:val="0"/>
          <w:sz w:val="28"/>
          <w:szCs w:val="28"/>
          <w:highlight w:val="none"/>
          <w:lang w:bidi="zh-CN"/>
        </w:rPr>
        <w:t>缴纳</w:t>
      </w:r>
      <w:r>
        <w:rPr>
          <w:rFonts w:hint="eastAsia" w:ascii="仿宋" w:hAnsi="仿宋" w:eastAsia="仿宋"/>
          <w:color w:val="auto"/>
          <w:kern w:val="0"/>
          <w:sz w:val="28"/>
          <w:szCs w:val="28"/>
          <w:highlight w:val="none"/>
          <w:lang w:val="zh-CN" w:bidi="zh-CN"/>
        </w:rPr>
        <w:t>履约保证金后，</w:t>
      </w:r>
      <w:r>
        <w:rPr>
          <w:rFonts w:hint="eastAsia" w:ascii="仿宋" w:hAnsi="仿宋" w:eastAsia="仿宋"/>
          <w:color w:val="auto"/>
          <w:kern w:val="0"/>
          <w:sz w:val="28"/>
          <w:szCs w:val="28"/>
          <w:highlight w:val="none"/>
          <w:lang w:bidi="zh-CN"/>
        </w:rPr>
        <w:t>且</w:t>
      </w:r>
      <w:r>
        <w:rPr>
          <w:rFonts w:hint="eastAsia" w:ascii="仿宋" w:hAnsi="仿宋" w:eastAsia="仿宋"/>
          <w:color w:val="auto"/>
          <w:kern w:val="0"/>
          <w:sz w:val="28"/>
          <w:szCs w:val="28"/>
          <w:highlight w:val="none"/>
          <w:lang w:val="zh-CN" w:bidi="zh-CN"/>
        </w:rPr>
        <w:t>双方法定代表人或授权代表签字并加盖</w:t>
      </w:r>
      <w:r>
        <w:rPr>
          <w:rFonts w:hint="eastAsia" w:ascii="仿宋" w:hAnsi="仿宋" w:eastAsia="仿宋"/>
          <w:color w:val="auto"/>
          <w:kern w:val="0"/>
          <w:sz w:val="28"/>
          <w:szCs w:val="28"/>
          <w:highlight w:val="none"/>
          <w:lang w:bidi="zh-CN"/>
        </w:rPr>
        <w:t>单位公</w:t>
      </w:r>
      <w:r>
        <w:rPr>
          <w:rFonts w:hint="eastAsia" w:ascii="仿宋" w:hAnsi="仿宋" w:eastAsia="仿宋"/>
          <w:color w:val="auto"/>
          <w:kern w:val="0"/>
          <w:sz w:val="28"/>
          <w:szCs w:val="28"/>
          <w:highlight w:val="none"/>
          <w:lang w:val="zh-CN" w:bidi="zh-CN"/>
        </w:rPr>
        <w:t>章</w:t>
      </w:r>
      <w:r>
        <w:rPr>
          <w:rFonts w:hint="eastAsia" w:ascii="仿宋" w:hAnsi="仿宋" w:eastAsia="仿宋"/>
          <w:color w:val="auto"/>
          <w:kern w:val="0"/>
          <w:sz w:val="28"/>
          <w:szCs w:val="28"/>
          <w:highlight w:val="none"/>
          <w:lang w:bidi="zh-CN"/>
        </w:rPr>
        <w:t>后</w:t>
      </w:r>
      <w:r>
        <w:rPr>
          <w:rFonts w:hint="eastAsia" w:ascii="仿宋" w:hAnsi="仿宋" w:eastAsia="仿宋"/>
          <w:color w:val="auto"/>
          <w:kern w:val="0"/>
          <w:sz w:val="28"/>
          <w:szCs w:val="28"/>
          <w:highlight w:val="none"/>
          <w:lang w:val="zh-CN" w:bidi="zh-CN"/>
        </w:rPr>
        <w:t>生效。</w:t>
      </w:r>
    </w:p>
    <w:p w14:paraId="7E4039C4">
      <w:pPr>
        <w:wordWrap w:val="0"/>
        <w:autoSpaceDE w:val="0"/>
        <w:autoSpaceDN w:val="0"/>
        <w:ind w:firstLine="562" w:firstLineChars="200"/>
        <w:rPr>
          <w:rFonts w:ascii="仿宋" w:hAnsi="仿宋" w:eastAsia="仿宋"/>
          <w:b/>
          <w:color w:val="auto"/>
          <w:kern w:val="0"/>
          <w:sz w:val="28"/>
          <w:szCs w:val="28"/>
          <w:highlight w:val="none"/>
          <w:lang w:val="zh-CN" w:bidi="zh-CN"/>
        </w:rPr>
      </w:pPr>
      <w:r>
        <w:rPr>
          <w:rFonts w:hint="eastAsia" w:ascii="仿宋" w:hAnsi="仿宋" w:eastAsia="仿宋"/>
          <w:b/>
          <w:color w:val="auto"/>
          <w:kern w:val="0"/>
          <w:sz w:val="28"/>
          <w:szCs w:val="28"/>
          <w:highlight w:val="none"/>
          <w:lang w:bidi="zh-CN"/>
        </w:rPr>
        <w:t>二十、</w:t>
      </w:r>
      <w:r>
        <w:rPr>
          <w:rFonts w:hint="eastAsia" w:ascii="仿宋" w:hAnsi="仿宋" w:eastAsia="仿宋"/>
          <w:b/>
          <w:color w:val="auto"/>
          <w:kern w:val="0"/>
          <w:sz w:val="28"/>
          <w:szCs w:val="28"/>
          <w:highlight w:val="none"/>
          <w:lang w:val="zh-CN" w:bidi="zh-CN"/>
        </w:rPr>
        <w:t>合同份数</w:t>
      </w:r>
    </w:p>
    <w:p w14:paraId="7A9F2121">
      <w:pPr>
        <w:wordWrap w:val="0"/>
        <w:autoSpaceDE w:val="0"/>
        <w:autoSpaceDN w:val="0"/>
        <w:ind w:firstLine="560" w:firstLineChars="20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本合同一式陆份，其中甲方肆份、乙方贰份，</w:t>
      </w:r>
      <w:r>
        <w:rPr>
          <w:rFonts w:hint="eastAsia" w:ascii="仿宋" w:hAnsi="仿宋" w:eastAsia="仿宋"/>
          <w:color w:val="auto"/>
          <w:kern w:val="0"/>
          <w:sz w:val="28"/>
          <w:szCs w:val="28"/>
          <w:highlight w:val="none"/>
          <w:lang w:bidi="zh-CN"/>
        </w:rPr>
        <w:t>都</w:t>
      </w:r>
      <w:r>
        <w:rPr>
          <w:rFonts w:hint="eastAsia" w:ascii="仿宋" w:hAnsi="仿宋" w:eastAsia="仿宋"/>
          <w:color w:val="auto"/>
          <w:kern w:val="0"/>
          <w:sz w:val="28"/>
          <w:szCs w:val="28"/>
          <w:highlight w:val="none"/>
          <w:lang w:val="zh-CN" w:bidi="zh-CN"/>
        </w:rPr>
        <w:t>具有同等法律效力。</w:t>
      </w:r>
    </w:p>
    <w:p w14:paraId="290B9BA7">
      <w:pPr>
        <w:wordWrap w:val="0"/>
        <w:autoSpaceDE w:val="0"/>
        <w:autoSpaceDN w:val="0"/>
        <w:ind w:firstLine="560" w:firstLineChars="200"/>
        <w:jc w:val="center"/>
        <w:rPr>
          <w:rFonts w:hint="eastAsia" w:ascii="仿宋" w:hAnsi="仿宋" w:eastAsia="仿宋"/>
          <w:bCs/>
          <w:color w:val="auto"/>
          <w:sz w:val="28"/>
          <w:szCs w:val="28"/>
          <w:highlight w:val="none"/>
          <w:lang w:val="zh-CN" w:bidi="zh-CN"/>
        </w:rPr>
      </w:pPr>
    </w:p>
    <w:p w14:paraId="5FC19D41">
      <w:pPr>
        <w:wordWrap w:val="0"/>
        <w:autoSpaceDE w:val="0"/>
        <w:autoSpaceDN w:val="0"/>
        <w:ind w:firstLine="560" w:firstLineChars="200"/>
        <w:jc w:val="center"/>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此页以下为签署页无正文</w:t>
      </w:r>
    </w:p>
    <w:tbl>
      <w:tblPr>
        <w:tblStyle w:val="41"/>
        <w:tblpPr w:leftFromText="180" w:rightFromText="180" w:vertAnchor="text" w:horzAnchor="page" w:tblpX="1327" w:tblpY="386"/>
        <w:tblOverlap w:val="never"/>
        <w:tblW w:w="9705" w:type="dxa"/>
        <w:tblInd w:w="0" w:type="dxa"/>
        <w:tblLayout w:type="fixed"/>
        <w:tblCellMar>
          <w:top w:w="0" w:type="dxa"/>
          <w:left w:w="108" w:type="dxa"/>
          <w:bottom w:w="0" w:type="dxa"/>
          <w:right w:w="108" w:type="dxa"/>
        </w:tblCellMar>
      </w:tblPr>
      <w:tblGrid>
        <w:gridCol w:w="5192"/>
        <w:gridCol w:w="4513"/>
      </w:tblGrid>
      <w:tr w14:paraId="71396776">
        <w:tblPrEx>
          <w:tblCellMar>
            <w:top w:w="0" w:type="dxa"/>
            <w:left w:w="108" w:type="dxa"/>
            <w:bottom w:w="0" w:type="dxa"/>
            <w:right w:w="108" w:type="dxa"/>
          </w:tblCellMar>
        </w:tblPrEx>
        <w:tc>
          <w:tcPr>
            <w:tcW w:w="5192" w:type="dxa"/>
            <w:noWrap w:val="0"/>
            <w:vAlign w:val="center"/>
          </w:tcPr>
          <w:p w14:paraId="639F52D9">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甲方：(盖章)</w:t>
            </w:r>
          </w:p>
        </w:tc>
        <w:tc>
          <w:tcPr>
            <w:tcW w:w="4513" w:type="dxa"/>
            <w:noWrap w:val="0"/>
            <w:vAlign w:val="center"/>
          </w:tcPr>
          <w:p w14:paraId="1EDD614B">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 xml:space="preserve">乙方：(盖章) </w:t>
            </w:r>
          </w:p>
        </w:tc>
      </w:tr>
      <w:tr w14:paraId="74567142">
        <w:tblPrEx>
          <w:tblCellMar>
            <w:top w:w="0" w:type="dxa"/>
            <w:left w:w="108" w:type="dxa"/>
            <w:bottom w:w="0" w:type="dxa"/>
            <w:right w:w="108" w:type="dxa"/>
          </w:tblCellMar>
        </w:tblPrEx>
        <w:trPr>
          <w:trHeight w:val="372" w:hRule="atLeast"/>
        </w:trPr>
        <w:tc>
          <w:tcPr>
            <w:tcW w:w="5192" w:type="dxa"/>
            <w:noWrap w:val="0"/>
            <w:vAlign w:val="center"/>
          </w:tcPr>
          <w:p w14:paraId="7C4AD2C0">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法定代表人(授权</w:t>
            </w:r>
            <w:r>
              <w:rPr>
                <w:rFonts w:hint="eastAsia" w:ascii="仿宋" w:hAnsi="仿宋" w:eastAsia="仿宋"/>
                <w:color w:val="auto"/>
                <w:kern w:val="0"/>
                <w:sz w:val="28"/>
                <w:szCs w:val="28"/>
                <w:highlight w:val="none"/>
                <w:lang w:val="en-US" w:bidi="zh-CN"/>
              </w:rPr>
              <w:t>代表</w:t>
            </w:r>
            <w:r>
              <w:rPr>
                <w:rFonts w:hint="eastAsia" w:ascii="仿宋" w:hAnsi="仿宋" w:eastAsia="仿宋"/>
                <w:color w:val="auto"/>
                <w:kern w:val="0"/>
                <w:sz w:val="28"/>
                <w:szCs w:val="28"/>
                <w:highlight w:val="none"/>
                <w:lang w:val="zh-CN" w:bidi="zh-CN"/>
              </w:rPr>
              <w:t>)：</w:t>
            </w:r>
          </w:p>
        </w:tc>
        <w:tc>
          <w:tcPr>
            <w:tcW w:w="4513" w:type="dxa"/>
            <w:noWrap w:val="0"/>
            <w:vAlign w:val="center"/>
          </w:tcPr>
          <w:p w14:paraId="2AF9848B">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法定代表人(授权</w:t>
            </w:r>
            <w:r>
              <w:rPr>
                <w:rFonts w:hint="eastAsia" w:ascii="仿宋" w:hAnsi="仿宋" w:eastAsia="仿宋"/>
                <w:color w:val="auto"/>
                <w:kern w:val="0"/>
                <w:sz w:val="28"/>
                <w:szCs w:val="28"/>
                <w:highlight w:val="none"/>
                <w:lang w:val="en-US" w:bidi="zh-CN"/>
              </w:rPr>
              <w:t>代表</w:t>
            </w:r>
            <w:r>
              <w:rPr>
                <w:rFonts w:hint="eastAsia" w:ascii="仿宋" w:hAnsi="仿宋" w:eastAsia="仿宋"/>
                <w:color w:val="auto"/>
                <w:kern w:val="0"/>
                <w:sz w:val="28"/>
                <w:szCs w:val="28"/>
                <w:highlight w:val="none"/>
                <w:lang w:val="zh-CN" w:bidi="zh-CN"/>
              </w:rPr>
              <w:t>)：</w:t>
            </w:r>
          </w:p>
        </w:tc>
      </w:tr>
      <w:tr w14:paraId="5C45A108">
        <w:tblPrEx>
          <w:tblCellMar>
            <w:top w:w="0" w:type="dxa"/>
            <w:left w:w="108" w:type="dxa"/>
            <w:bottom w:w="0" w:type="dxa"/>
            <w:right w:w="108" w:type="dxa"/>
          </w:tblCellMar>
        </w:tblPrEx>
        <w:tc>
          <w:tcPr>
            <w:tcW w:w="5192" w:type="dxa"/>
            <w:noWrap w:val="0"/>
            <w:vAlign w:val="center"/>
          </w:tcPr>
          <w:p w14:paraId="22F56307">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地址：成都市郫都区红光街道港通北三路1899号</w:t>
            </w:r>
          </w:p>
        </w:tc>
        <w:tc>
          <w:tcPr>
            <w:tcW w:w="4513" w:type="dxa"/>
            <w:noWrap w:val="0"/>
            <w:vAlign w:val="center"/>
          </w:tcPr>
          <w:p w14:paraId="69639FAC">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地址：X</w:t>
            </w:r>
            <w:r>
              <w:rPr>
                <w:rFonts w:ascii="仿宋" w:hAnsi="仿宋" w:eastAsia="仿宋"/>
                <w:color w:val="auto"/>
                <w:kern w:val="0"/>
                <w:sz w:val="28"/>
                <w:szCs w:val="28"/>
                <w:highlight w:val="none"/>
                <w:lang w:val="zh-CN" w:bidi="zh-CN"/>
              </w:rPr>
              <w:t>XXXXX</w:t>
            </w:r>
          </w:p>
        </w:tc>
      </w:tr>
      <w:tr w14:paraId="4F30505F">
        <w:tblPrEx>
          <w:tblCellMar>
            <w:top w:w="0" w:type="dxa"/>
            <w:left w:w="108" w:type="dxa"/>
            <w:bottom w:w="0" w:type="dxa"/>
            <w:right w:w="108" w:type="dxa"/>
          </w:tblCellMar>
        </w:tblPrEx>
        <w:tc>
          <w:tcPr>
            <w:tcW w:w="5192" w:type="dxa"/>
            <w:noWrap w:val="0"/>
            <w:vAlign w:val="center"/>
          </w:tcPr>
          <w:p w14:paraId="7239326E">
            <w:pPr>
              <w:wordWrap w:val="0"/>
              <w:autoSpaceDE w:val="0"/>
              <w:autoSpaceDN w:val="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val="zh-CN" w:bidi="zh-CN"/>
              </w:rPr>
              <w:t>联系电话：6</w:t>
            </w:r>
            <w:r>
              <w:rPr>
                <w:rFonts w:ascii="仿宋" w:hAnsi="仿宋" w:eastAsia="仿宋"/>
                <w:color w:val="auto"/>
                <w:kern w:val="0"/>
                <w:sz w:val="28"/>
                <w:szCs w:val="28"/>
                <w:highlight w:val="none"/>
                <w:lang w:val="zh-CN" w:bidi="zh-CN"/>
              </w:rPr>
              <w:t>1835016</w:t>
            </w:r>
          </w:p>
        </w:tc>
        <w:tc>
          <w:tcPr>
            <w:tcW w:w="4513" w:type="dxa"/>
            <w:noWrap w:val="0"/>
            <w:vAlign w:val="center"/>
          </w:tcPr>
          <w:p w14:paraId="53260615">
            <w:pPr>
              <w:wordWrap w:val="0"/>
              <w:autoSpaceDE w:val="0"/>
              <w:autoSpaceDN w:val="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val="zh-CN" w:bidi="zh-CN"/>
              </w:rPr>
              <w:t>联系电话：</w:t>
            </w:r>
            <w:r>
              <w:rPr>
                <w:rFonts w:ascii="仿宋" w:hAnsi="仿宋" w:eastAsia="仿宋"/>
                <w:color w:val="auto"/>
                <w:kern w:val="0"/>
                <w:sz w:val="28"/>
                <w:szCs w:val="28"/>
                <w:highlight w:val="none"/>
                <w:lang w:val="zh-CN" w:bidi="zh-CN"/>
              </w:rPr>
              <w:t>XXXXX</w:t>
            </w:r>
            <w:r>
              <w:rPr>
                <w:rFonts w:hint="eastAsia" w:ascii="仿宋" w:hAnsi="仿宋" w:eastAsia="仿宋"/>
                <w:color w:val="auto"/>
                <w:kern w:val="0"/>
                <w:sz w:val="28"/>
                <w:szCs w:val="28"/>
                <w:highlight w:val="none"/>
                <w:lang w:val="zh-CN" w:bidi="zh-CN"/>
              </w:rPr>
              <w:t xml:space="preserve"> </w:t>
            </w:r>
          </w:p>
        </w:tc>
      </w:tr>
      <w:tr w14:paraId="3917B457">
        <w:tblPrEx>
          <w:tblCellMar>
            <w:top w:w="0" w:type="dxa"/>
            <w:left w:w="108" w:type="dxa"/>
            <w:bottom w:w="0" w:type="dxa"/>
            <w:right w:w="108" w:type="dxa"/>
          </w:tblCellMar>
        </w:tblPrEx>
        <w:tc>
          <w:tcPr>
            <w:tcW w:w="5192" w:type="dxa"/>
            <w:noWrap w:val="0"/>
            <w:vAlign w:val="center"/>
          </w:tcPr>
          <w:p w14:paraId="5D256DA3">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开户银行：</w:t>
            </w:r>
            <w:r>
              <w:rPr>
                <w:rFonts w:hint="eastAsia" w:ascii="仿宋" w:hAnsi="仿宋" w:eastAsia="仿宋"/>
                <w:snapToGrid w:val="0"/>
                <w:color w:val="auto"/>
                <w:kern w:val="0"/>
                <w:sz w:val="28"/>
                <w:szCs w:val="28"/>
                <w:highlight w:val="none"/>
                <w:lang w:val="zh-CN" w:bidi="zh-CN"/>
              </w:rPr>
              <w:t>工行四川成都分行郫都红光支行</w:t>
            </w:r>
          </w:p>
        </w:tc>
        <w:tc>
          <w:tcPr>
            <w:tcW w:w="4513" w:type="dxa"/>
            <w:noWrap w:val="0"/>
            <w:vAlign w:val="center"/>
          </w:tcPr>
          <w:p w14:paraId="1380931A">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开户银行：X</w:t>
            </w:r>
            <w:r>
              <w:rPr>
                <w:rFonts w:ascii="仿宋" w:hAnsi="仿宋" w:eastAsia="仿宋"/>
                <w:color w:val="auto"/>
                <w:kern w:val="0"/>
                <w:sz w:val="28"/>
                <w:szCs w:val="28"/>
                <w:highlight w:val="none"/>
                <w:lang w:val="zh-CN" w:bidi="zh-CN"/>
              </w:rPr>
              <w:t>XXXX</w:t>
            </w:r>
          </w:p>
        </w:tc>
      </w:tr>
      <w:tr w14:paraId="65196CE2">
        <w:tblPrEx>
          <w:tblCellMar>
            <w:top w:w="0" w:type="dxa"/>
            <w:left w:w="108" w:type="dxa"/>
            <w:bottom w:w="0" w:type="dxa"/>
            <w:right w:w="108" w:type="dxa"/>
          </w:tblCellMar>
        </w:tblPrEx>
        <w:tc>
          <w:tcPr>
            <w:tcW w:w="5192" w:type="dxa"/>
            <w:noWrap w:val="0"/>
            <w:vAlign w:val="center"/>
          </w:tcPr>
          <w:p w14:paraId="29C8A895">
            <w:pPr>
              <w:wordWrap w:val="0"/>
              <w:autoSpaceDE w:val="0"/>
              <w:autoSpaceDN w:val="0"/>
              <w:rPr>
                <w:rFonts w:ascii="仿宋" w:hAnsi="仿宋" w:eastAsia="仿宋"/>
                <w:color w:val="auto"/>
                <w:kern w:val="0"/>
                <w:sz w:val="28"/>
                <w:szCs w:val="28"/>
                <w:highlight w:val="none"/>
                <w:lang w:bidi="zh-CN"/>
              </w:rPr>
            </w:pPr>
            <w:r>
              <w:rPr>
                <w:rFonts w:hint="eastAsia" w:ascii="仿宋" w:hAnsi="仿宋" w:eastAsia="仿宋"/>
                <w:color w:val="auto"/>
                <w:kern w:val="0"/>
                <w:sz w:val="28"/>
                <w:szCs w:val="28"/>
                <w:highlight w:val="none"/>
                <w:lang w:val="zh-CN" w:bidi="zh-CN"/>
              </w:rPr>
              <w:t>账    号：</w:t>
            </w:r>
            <w:r>
              <w:rPr>
                <w:rFonts w:hint="eastAsia" w:ascii="仿宋" w:hAnsi="仿宋" w:eastAsia="仿宋"/>
                <w:color w:val="auto"/>
                <w:kern w:val="0"/>
                <w:sz w:val="28"/>
                <w:szCs w:val="28"/>
                <w:highlight w:val="none"/>
                <w:lang w:bidi="zh-CN"/>
              </w:rPr>
              <w:t>44020546091000031151</w:t>
            </w:r>
          </w:p>
        </w:tc>
        <w:tc>
          <w:tcPr>
            <w:tcW w:w="4513" w:type="dxa"/>
            <w:noWrap w:val="0"/>
            <w:vAlign w:val="center"/>
          </w:tcPr>
          <w:p w14:paraId="0412672C">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账    号：</w:t>
            </w:r>
            <w:r>
              <w:rPr>
                <w:rFonts w:ascii="仿宋" w:hAnsi="仿宋" w:eastAsia="仿宋"/>
                <w:color w:val="auto"/>
                <w:kern w:val="0"/>
                <w:sz w:val="28"/>
                <w:szCs w:val="28"/>
                <w:highlight w:val="none"/>
                <w:lang w:val="zh-CN" w:bidi="zh-CN"/>
              </w:rPr>
              <w:t>XXXXX</w:t>
            </w:r>
          </w:p>
        </w:tc>
      </w:tr>
      <w:tr w14:paraId="60181DE2">
        <w:tblPrEx>
          <w:tblCellMar>
            <w:top w:w="0" w:type="dxa"/>
            <w:left w:w="108" w:type="dxa"/>
            <w:bottom w:w="0" w:type="dxa"/>
            <w:right w:w="108" w:type="dxa"/>
          </w:tblCellMar>
        </w:tblPrEx>
        <w:tc>
          <w:tcPr>
            <w:tcW w:w="5192" w:type="dxa"/>
            <w:noWrap w:val="0"/>
            <w:vAlign w:val="center"/>
          </w:tcPr>
          <w:p w14:paraId="31D69948">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 xml:space="preserve">签约日期： </w:t>
            </w:r>
            <w:r>
              <w:rPr>
                <w:rFonts w:ascii="仿宋" w:hAnsi="仿宋" w:eastAsia="仿宋"/>
                <w:color w:val="auto"/>
                <w:kern w:val="0"/>
                <w:sz w:val="28"/>
                <w:szCs w:val="28"/>
                <w:highlight w:val="none"/>
                <w:lang w:val="zh-CN" w:bidi="zh-CN"/>
              </w:rPr>
              <w:t xml:space="preserve">  </w:t>
            </w:r>
            <w:r>
              <w:rPr>
                <w:rFonts w:hint="eastAsia" w:ascii="仿宋" w:hAnsi="仿宋" w:eastAsia="仿宋"/>
                <w:color w:val="auto"/>
                <w:kern w:val="0"/>
                <w:sz w:val="28"/>
                <w:szCs w:val="28"/>
                <w:highlight w:val="none"/>
                <w:lang w:val="zh-CN" w:bidi="zh-CN"/>
              </w:rPr>
              <w:t>年</w:t>
            </w:r>
            <w:r>
              <w:rPr>
                <w:rFonts w:ascii="仿宋" w:hAnsi="仿宋" w:eastAsia="仿宋"/>
                <w:color w:val="auto"/>
                <w:kern w:val="0"/>
                <w:sz w:val="28"/>
                <w:szCs w:val="28"/>
                <w:highlight w:val="none"/>
                <w:lang w:bidi="zh-CN"/>
              </w:rPr>
              <w:t xml:space="preserve">  </w:t>
            </w:r>
            <w:r>
              <w:rPr>
                <w:rFonts w:hint="eastAsia" w:ascii="仿宋" w:hAnsi="仿宋" w:eastAsia="仿宋"/>
                <w:color w:val="auto"/>
                <w:kern w:val="0"/>
                <w:sz w:val="28"/>
                <w:szCs w:val="28"/>
                <w:highlight w:val="none"/>
                <w:lang w:val="zh-CN" w:bidi="zh-CN"/>
              </w:rPr>
              <w:t>月</w:t>
            </w:r>
            <w:r>
              <w:rPr>
                <w:rFonts w:hint="eastAsia" w:ascii="仿宋" w:hAnsi="仿宋" w:eastAsia="仿宋"/>
                <w:color w:val="auto"/>
                <w:kern w:val="0"/>
                <w:sz w:val="28"/>
                <w:szCs w:val="28"/>
                <w:highlight w:val="none"/>
                <w:lang w:bidi="zh-CN"/>
              </w:rPr>
              <w:t xml:space="preserve">   </w:t>
            </w:r>
            <w:r>
              <w:rPr>
                <w:rFonts w:hint="eastAsia" w:ascii="仿宋" w:hAnsi="仿宋" w:eastAsia="仿宋"/>
                <w:color w:val="auto"/>
                <w:kern w:val="0"/>
                <w:sz w:val="28"/>
                <w:szCs w:val="28"/>
                <w:highlight w:val="none"/>
                <w:lang w:val="zh-CN" w:bidi="zh-CN"/>
              </w:rPr>
              <w:t>日</w:t>
            </w:r>
          </w:p>
        </w:tc>
        <w:tc>
          <w:tcPr>
            <w:tcW w:w="4513" w:type="dxa"/>
            <w:noWrap w:val="0"/>
            <w:vAlign w:val="center"/>
          </w:tcPr>
          <w:p w14:paraId="3529CEEF">
            <w:pPr>
              <w:wordWrap w:val="0"/>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 xml:space="preserve">签约日期： </w:t>
            </w:r>
            <w:r>
              <w:rPr>
                <w:rFonts w:ascii="仿宋" w:hAnsi="仿宋" w:eastAsia="仿宋"/>
                <w:color w:val="auto"/>
                <w:kern w:val="0"/>
                <w:sz w:val="28"/>
                <w:szCs w:val="28"/>
                <w:highlight w:val="none"/>
                <w:lang w:val="zh-CN" w:bidi="zh-CN"/>
              </w:rPr>
              <w:t xml:space="preserve"> </w:t>
            </w:r>
            <w:r>
              <w:rPr>
                <w:rFonts w:hint="eastAsia" w:ascii="仿宋" w:hAnsi="仿宋" w:eastAsia="仿宋"/>
                <w:color w:val="auto"/>
                <w:kern w:val="0"/>
                <w:sz w:val="28"/>
                <w:szCs w:val="28"/>
                <w:highlight w:val="none"/>
                <w:lang w:val="zh-CN" w:bidi="zh-CN"/>
              </w:rPr>
              <w:t xml:space="preserve">年 </w:t>
            </w:r>
            <w:r>
              <w:rPr>
                <w:rFonts w:ascii="仿宋" w:hAnsi="仿宋" w:eastAsia="仿宋"/>
                <w:color w:val="auto"/>
                <w:kern w:val="0"/>
                <w:sz w:val="28"/>
                <w:szCs w:val="28"/>
                <w:highlight w:val="none"/>
                <w:lang w:val="zh-CN" w:bidi="zh-CN"/>
              </w:rPr>
              <w:t xml:space="preserve"> </w:t>
            </w:r>
            <w:r>
              <w:rPr>
                <w:rFonts w:hint="eastAsia" w:ascii="仿宋" w:hAnsi="仿宋" w:eastAsia="仿宋"/>
                <w:color w:val="auto"/>
                <w:kern w:val="0"/>
                <w:sz w:val="28"/>
                <w:szCs w:val="28"/>
                <w:highlight w:val="none"/>
                <w:lang w:val="zh-CN" w:bidi="zh-CN"/>
              </w:rPr>
              <w:t>月</w:t>
            </w:r>
            <w:r>
              <w:rPr>
                <w:rFonts w:hint="eastAsia" w:ascii="仿宋" w:hAnsi="仿宋" w:eastAsia="仿宋"/>
                <w:color w:val="auto"/>
                <w:kern w:val="0"/>
                <w:sz w:val="28"/>
                <w:szCs w:val="28"/>
                <w:highlight w:val="none"/>
                <w:lang w:bidi="zh-CN"/>
              </w:rPr>
              <w:t xml:space="preserve">   </w:t>
            </w:r>
            <w:r>
              <w:rPr>
                <w:rFonts w:hint="eastAsia" w:ascii="仿宋" w:hAnsi="仿宋" w:eastAsia="仿宋"/>
                <w:color w:val="auto"/>
                <w:kern w:val="0"/>
                <w:sz w:val="28"/>
                <w:szCs w:val="28"/>
                <w:highlight w:val="none"/>
                <w:lang w:val="zh-CN" w:bidi="zh-CN"/>
              </w:rPr>
              <w:t>日</w:t>
            </w:r>
          </w:p>
        </w:tc>
      </w:tr>
    </w:tbl>
    <w:p w14:paraId="5197FB4E">
      <w:pPr>
        <w:wordWrap w:val="0"/>
        <w:autoSpaceDE w:val="0"/>
        <w:autoSpaceDN w:val="0"/>
        <w:ind w:firstLine="560" w:firstLineChars="200"/>
        <w:rPr>
          <w:rFonts w:ascii="仿宋" w:hAnsi="仿宋" w:eastAsia="仿宋"/>
          <w:bCs/>
          <w:color w:val="auto"/>
          <w:sz w:val="28"/>
          <w:szCs w:val="28"/>
          <w:highlight w:val="none"/>
          <w:lang w:val="zh-CN" w:bidi="zh-CN"/>
        </w:rPr>
      </w:pPr>
    </w:p>
    <w:p w14:paraId="4A08A0BF">
      <w:pPr>
        <w:wordWrap w:val="0"/>
        <w:autoSpaceDE w:val="0"/>
        <w:autoSpaceDN w:val="0"/>
        <w:ind w:firstLine="560" w:firstLineChars="200"/>
        <w:jc w:val="center"/>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tab/>
      </w:r>
    </w:p>
    <w:p w14:paraId="5B9D0B63">
      <w:pPr>
        <w:autoSpaceDE w:val="0"/>
        <w:autoSpaceDN w:val="0"/>
        <w:rPr>
          <w:rFonts w:ascii="仿宋" w:hAnsi="仿宋" w:eastAsia="仿宋"/>
          <w:color w:val="auto"/>
          <w:kern w:val="0"/>
          <w:sz w:val="28"/>
          <w:szCs w:val="28"/>
          <w:highlight w:val="none"/>
          <w:lang w:val="zh-CN" w:bidi="zh-CN"/>
        </w:rPr>
      </w:pPr>
      <w:r>
        <w:rPr>
          <w:rFonts w:hint="eastAsia" w:ascii="仿宋" w:hAnsi="仿宋" w:eastAsia="仿宋"/>
          <w:color w:val="auto"/>
          <w:kern w:val="0"/>
          <w:sz w:val="28"/>
          <w:szCs w:val="28"/>
          <w:highlight w:val="none"/>
          <w:lang w:val="zh-CN" w:bidi="zh-CN"/>
        </w:rPr>
        <w:br w:type="page"/>
      </w:r>
    </w:p>
    <w:p w14:paraId="2EC23115">
      <w:pPr>
        <w:wordWrap w:val="0"/>
        <w:autoSpaceDE w:val="0"/>
        <w:autoSpaceDN w:val="0"/>
        <w:ind w:firstLine="560" w:firstLineChars="200"/>
        <w:jc w:val="center"/>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bidi="zh-CN"/>
        </w:rPr>
        <w:t>第二部分</w:t>
      </w:r>
    </w:p>
    <w:p w14:paraId="74EB5D3D">
      <w:pPr>
        <w:wordWrap w:val="0"/>
        <w:autoSpaceDE w:val="0"/>
        <w:autoSpaceDN w:val="0"/>
        <w:ind w:firstLine="562" w:firstLineChars="200"/>
        <w:jc w:val="center"/>
        <w:rPr>
          <w:rFonts w:ascii="仿宋" w:hAnsi="仿宋" w:eastAsia="仿宋"/>
          <w:b/>
          <w:bCs/>
          <w:color w:val="auto"/>
          <w:kern w:val="0"/>
          <w:sz w:val="28"/>
          <w:szCs w:val="28"/>
          <w:highlight w:val="none"/>
          <w:lang w:val="zh-CN" w:bidi="zh-CN"/>
        </w:rPr>
      </w:pPr>
      <w:r>
        <w:rPr>
          <w:rFonts w:hint="eastAsia" w:ascii="仿宋" w:hAnsi="仿宋" w:eastAsia="仿宋"/>
          <w:b/>
          <w:bCs/>
          <w:color w:val="auto"/>
          <w:kern w:val="0"/>
          <w:sz w:val="28"/>
          <w:szCs w:val="28"/>
          <w:highlight w:val="none"/>
          <w:lang w:val="zh-CN" w:bidi="zh-CN"/>
        </w:rPr>
        <w:t>工程质量保修书</w:t>
      </w:r>
    </w:p>
    <w:p w14:paraId="25143B39">
      <w:pPr>
        <w:numPr>
          <w:ilvl w:val="4"/>
          <w:numId w:val="5"/>
        </w:numPr>
        <w:tabs>
          <w:tab w:val="left" w:pos="0"/>
        </w:tabs>
        <w:wordWrap w:val="0"/>
        <w:autoSpaceDE w:val="0"/>
        <w:autoSpaceDN w:val="0"/>
        <w:adjustRightInd w:val="0"/>
        <w:snapToGrid w:val="0"/>
        <w:spacing w:line="440" w:lineRule="exact"/>
        <w:ind w:firstLine="562" w:firstLineChars="200"/>
        <w:jc w:val="left"/>
        <w:rPr>
          <w:rFonts w:ascii="仿宋" w:hAnsi="仿宋" w:eastAsia="仿宋"/>
          <w:b/>
          <w:color w:val="auto"/>
          <w:sz w:val="28"/>
          <w:szCs w:val="28"/>
          <w:highlight w:val="none"/>
          <w:lang w:val="zh-CN" w:bidi="zh-CN"/>
        </w:rPr>
      </w:pPr>
    </w:p>
    <w:p w14:paraId="05F9E4EF">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val="zh-CN" w:bidi="zh-CN"/>
        </w:rPr>
        <w:t>发包人（</w:t>
      </w:r>
      <w:r>
        <w:rPr>
          <w:rFonts w:hint="eastAsia" w:ascii="仿宋" w:hAnsi="仿宋" w:eastAsia="仿宋"/>
          <w:bCs/>
          <w:color w:val="auto"/>
          <w:kern w:val="0"/>
          <w:sz w:val="28"/>
          <w:szCs w:val="28"/>
          <w:highlight w:val="none"/>
          <w:lang w:val="en-US" w:bidi="zh-CN"/>
        </w:rPr>
        <w:t>甲方</w:t>
      </w:r>
      <w:r>
        <w:rPr>
          <w:rFonts w:hint="eastAsia" w:ascii="仿宋" w:hAnsi="仿宋" w:eastAsia="仿宋"/>
          <w:bCs/>
          <w:color w:val="auto"/>
          <w:kern w:val="0"/>
          <w:sz w:val="28"/>
          <w:szCs w:val="28"/>
          <w:highlight w:val="none"/>
          <w:lang w:val="zh-CN" w:bidi="zh-CN"/>
        </w:rPr>
        <w:t>）：(全称)</w:t>
      </w:r>
      <w:r>
        <w:rPr>
          <w:rFonts w:hint="eastAsia" w:ascii="仿宋" w:hAnsi="仿宋" w:eastAsia="仿宋"/>
          <w:color w:val="auto"/>
          <w:sz w:val="28"/>
          <w:szCs w:val="28"/>
          <w:highlight w:val="none"/>
        </w:rPr>
        <w:t xml:space="preserve"> </w:t>
      </w:r>
      <w:r>
        <w:rPr>
          <w:rFonts w:hint="eastAsia" w:ascii="仿宋" w:hAnsi="仿宋" w:eastAsia="仿宋"/>
          <w:bCs/>
          <w:color w:val="auto"/>
          <w:kern w:val="0"/>
          <w:sz w:val="28"/>
          <w:szCs w:val="28"/>
          <w:highlight w:val="none"/>
          <w:lang w:val="zh-CN" w:bidi="zh-CN"/>
        </w:rPr>
        <w:t>成都市技师学院</w:t>
      </w:r>
      <w:r>
        <w:rPr>
          <w:rFonts w:hint="eastAsia" w:ascii="仿宋" w:hAnsi="仿宋" w:eastAsia="仿宋"/>
          <w:bCs/>
          <w:color w:val="auto"/>
          <w:kern w:val="0"/>
          <w:sz w:val="28"/>
          <w:szCs w:val="28"/>
          <w:highlight w:val="none"/>
          <w:lang w:bidi="zh-CN"/>
        </w:rPr>
        <w:t xml:space="preserve">          </w:t>
      </w:r>
    </w:p>
    <w:p w14:paraId="05E5EF1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w:t>
      </w:r>
      <w:r>
        <w:rPr>
          <w:rFonts w:hint="eastAsia" w:ascii="仿宋" w:hAnsi="仿宋" w:eastAsia="仿宋"/>
          <w:bCs/>
          <w:color w:val="auto"/>
          <w:kern w:val="0"/>
          <w:sz w:val="28"/>
          <w:szCs w:val="28"/>
          <w:highlight w:val="none"/>
          <w:lang w:val="en-US" w:bidi="zh-CN"/>
        </w:rPr>
        <w:t>乙方</w:t>
      </w:r>
      <w:r>
        <w:rPr>
          <w:rFonts w:hint="eastAsia" w:ascii="仿宋" w:hAnsi="仿宋" w:eastAsia="仿宋"/>
          <w:bCs/>
          <w:color w:val="auto"/>
          <w:kern w:val="0"/>
          <w:sz w:val="28"/>
          <w:szCs w:val="28"/>
          <w:highlight w:val="none"/>
          <w:lang w:val="zh-CN" w:bidi="zh-CN"/>
        </w:rPr>
        <w:t>）：(全称)</w:t>
      </w:r>
      <w:r>
        <w:rPr>
          <w:rFonts w:hint="eastAsia" w:ascii="仿宋" w:hAnsi="仿宋" w:eastAsia="仿宋"/>
          <w:color w:val="auto"/>
          <w:sz w:val="28"/>
          <w:szCs w:val="28"/>
          <w:highlight w:val="none"/>
        </w:rPr>
        <w:t xml:space="preserve"> </w:t>
      </w:r>
      <w:r>
        <w:rPr>
          <w:rFonts w:hint="eastAsia" w:ascii="仿宋" w:hAnsi="仿宋" w:eastAsia="仿宋"/>
          <w:bCs/>
          <w:color w:val="auto"/>
          <w:kern w:val="0"/>
          <w:sz w:val="28"/>
          <w:szCs w:val="28"/>
          <w:highlight w:val="none"/>
          <w:lang w:val="zh-CN" w:bidi="zh-CN"/>
        </w:rPr>
        <w:t>X</w:t>
      </w:r>
      <w:r>
        <w:rPr>
          <w:rFonts w:ascii="仿宋" w:hAnsi="仿宋" w:eastAsia="仿宋"/>
          <w:bCs/>
          <w:color w:val="auto"/>
          <w:kern w:val="0"/>
          <w:sz w:val="28"/>
          <w:szCs w:val="28"/>
          <w:highlight w:val="none"/>
          <w:lang w:val="zh-CN" w:bidi="zh-CN"/>
        </w:rPr>
        <w:t>XXXX</w:t>
      </w:r>
      <w:r>
        <w:rPr>
          <w:rFonts w:hint="eastAsia" w:ascii="仿宋" w:hAnsi="仿宋" w:eastAsia="仿宋"/>
          <w:bCs/>
          <w:color w:val="auto"/>
          <w:kern w:val="0"/>
          <w:sz w:val="28"/>
          <w:szCs w:val="28"/>
          <w:highlight w:val="none"/>
          <w:lang w:val="zh-CN" w:bidi="zh-CN"/>
        </w:rPr>
        <w:t>公司</w:t>
      </w:r>
    </w:p>
    <w:p w14:paraId="7B42E22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发包人、承包人根据《中华人民共和国建筑法》</w:t>
      </w:r>
      <w:r>
        <w:rPr>
          <w:rFonts w:ascii="仿宋" w:hAnsi="仿宋" w:eastAsia="仿宋"/>
          <w:bCs/>
          <w:color w:val="auto"/>
          <w:kern w:val="0"/>
          <w:sz w:val="28"/>
          <w:szCs w:val="28"/>
          <w:highlight w:val="none"/>
          <w:lang w:val="zh-CN" w:bidi="zh-CN"/>
        </w:rPr>
        <w:t>和</w:t>
      </w:r>
      <w:r>
        <w:rPr>
          <w:rFonts w:hint="eastAsia" w:ascii="仿宋" w:hAnsi="仿宋" w:eastAsia="仿宋"/>
          <w:bCs/>
          <w:color w:val="auto"/>
          <w:kern w:val="0"/>
          <w:sz w:val="28"/>
          <w:szCs w:val="28"/>
          <w:highlight w:val="none"/>
          <w:lang w:val="zh-CN" w:bidi="zh-CN"/>
        </w:rPr>
        <w:t>《建设工程质量管理条例》，经协商一致，对成都市技师学院东校区男生宿舍及公共厕所修缮工程项目签订工程质量保修书。</w:t>
      </w:r>
    </w:p>
    <w:p w14:paraId="777C348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一、工程质量保修范围和内容</w:t>
      </w:r>
    </w:p>
    <w:p w14:paraId="49FB669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承包人在质量保修期内，按照有关法律、法规、规章规定和双方约定，承担本工程质量保修责任。质量保修范围同工程量清单的全部范围。</w:t>
      </w:r>
    </w:p>
    <w:p w14:paraId="30142E8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二、</w:t>
      </w:r>
      <w:r>
        <w:rPr>
          <w:rFonts w:hint="eastAsia" w:ascii="仿宋" w:hAnsi="仿宋" w:eastAsia="仿宋"/>
          <w:bCs/>
          <w:color w:val="auto"/>
          <w:kern w:val="0"/>
          <w:sz w:val="28"/>
          <w:szCs w:val="28"/>
          <w:highlight w:val="none"/>
          <w:lang w:bidi="zh-CN"/>
        </w:rPr>
        <w:t>缺陷责任期与</w:t>
      </w:r>
      <w:r>
        <w:rPr>
          <w:rFonts w:hint="eastAsia" w:ascii="仿宋" w:hAnsi="仿宋" w:eastAsia="仿宋"/>
          <w:bCs/>
          <w:color w:val="auto"/>
          <w:kern w:val="0"/>
          <w:sz w:val="28"/>
          <w:szCs w:val="28"/>
          <w:highlight w:val="none"/>
          <w:lang w:val="zh-CN" w:bidi="zh-CN"/>
        </w:rPr>
        <w:t>质量保修期</w:t>
      </w:r>
    </w:p>
    <w:p w14:paraId="410A1949">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bidi="zh-CN"/>
        </w:rPr>
        <w:t>1）本工程缺陷责任期为2年</w:t>
      </w:r>
    </w:p>
    <w:p w14:paraId="35A18822">
      <w:pPr>
        <w:wordWrap w:val="0"/>
        <w:autoSpaceDE w:val="0"/>
        <w:autoSpaceDN w:val="0"/>
        <w:ind w:firstLine="560" w:firstLineChars="200"/>
        <w:rPr>
          <w:rFonts w:hint="eastAsia" w:ascii="仿宋" w:hAnsi="仿宋" w:eastAsia="仿宋"/>
          <w:bCs/>
          <w:color w:val="auto"/>
          <w:kern w:val="0"/>
          <w:sz w:val="28"/>
          <w:szCs w:val="28"/>
          <w:highlight w:val="none"/>
          <w:lang w:val="zh-CN" w:bidi="zh-CN"/>
        </w:rPr>
      </w:pPr>
      <w:r>
        <w:rPr>
          <w:rFonts w:ascii="仿宋" w:hAnsi="仿宋" w:eastAsia="仿宋"/>
          <w:bCs/>
          <w:color w:val="auto"/>
          <w:kern w:val="0"/>
          <w:sz w:val="28"/>
          <w:szCs w:val="28"/>
          <w:highlight w:val="none"/>
          <w:lang w:bidi="zh-CN"/>
        </w:rPr>
        <w:t>2）</w:t>
      </w:r>
      <w:r>
        <w:rPr>
          <w:rFonts w:hint="eastAsia" w:ascii="仿宋" w:hAnsi="仿宋" w:eastAsia="仿宋"/>
          <w:bCs/>
          <w:color w:val="auto"/>
          <w:kern w:val="0"/>
          <w:sz w:val="28"/>
          <w:szCs w:val="28"/>
          <w:highlight w:val="none"/>
          <w:lang w:bidi="zh-CN"/>
        </w:rPr>
        <w:t>非防水工程质保期2年结束后，10个日历天内无息退还质量保证金的80%。防水工程质保期5年到期后，10个日历天内无息退还至质量保证金的100%。</w:t>
      </w:r>
    </w:p>
    <w:p w14:paraId="41B7274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三、质量保修责任</w:t>
      </w:r>
    </w:p>
    <w:p w14:paraId="1FAF4348">
      <w:pPr>
        <w:wordWrap w:val="0"/>
        <w:autoSpaceDE w:val="0"/>
        <w:autoSpaceDN w:val="0"/>
        <w:ind w:firstLine="560" w:firstLineChars="200"/>
        <w:rPr>
          <w:rFonts w:ascii="仿宋" w:hAnsi="仿宋" w:eastAsia="仿宋"/>
          <w:bCs/>
          <w:color w:val="auto"/>
          <w:sz w:val="28"/>
          <w:szCs w:val="28"/>
          <w:highlight w:val="none"/>
          <w:lang w:bidi="zh-CN"/>
        </w:rPr>
      </w:pPr>
      <w:r>
        <w:rPr>
          <w:rFonts w:hint="eastAsia" w:ascii="仿宋" w:hAnsi="仿宋" w:eastAsia="仿宋"/>
          <w:bCs/>
          <w:color w:val="auto"/>
          <w:sz w:val="28"/>
          <w:szCs w:val="28"/>
          <w:highlight w:val="none"/>
          <w:lang w:val="zh-CN" w:bidi="zh-CN"/>
        </w:rPr>
        <w:t>1</w:t>
      </w:r>
      <w:r>
        <w:rPr>
          <w:rFonts w:hint="eastAsia" w:ascii="仿宋" w:hAnsi="仿宋" w:eastAsia="仿宋"/>
          <w:bCs/>
          <w:color w:val="auto"/>
          <w:sz w:val="28"/>
          <w:szCs w:val="28"/>
          <w:highlight w:val="none"/>
          <w:lang w:bidi="zh-CN"/>
        </w:rPr>
        <w:t>.</w:t>
      </w:r>
      <w:r>
        <w:rPr>
          <w:rFonts w:hint="eastAsia" w:ascii="仿宋" w:hAnsi="仿宋" w:eastAsia="仿宋" w:cs="仿宋_GB2312"/>
          <w:color w:val="auto"/>
          <w:sz w:val="28"/>
          <w:szCs w:val="28"/>
          <w:highlight w:val="none"/>
        </w:rPr>
        <w:t>质保期内应提供售后服务和技术支持服务。承包人需提供电话和上门两种服务模式，电话30分钟内响应，紧急上门抢修需6小时内到达，其他上门维修需2个日历天内到达。</w:t>
      </w:r>
      <w:r>
        <w:rPr>
          <w:rFonts w:hint="eastAsia" w:ascii="仿宋" w:hAnsi="仿宋" w:eastAsia="仿宋" w:cs="___WRD_EMBED_SUB_41"/>
          <w:color w:val="auto"/>
          <w:sz w:val="28"/>
          <w:szCs w:val="28"/>
          <w:highlight w:val="none"/>
        </w:rPr>
        <w:t>承包人不在约定期限内</w:t>
      </w:r>
      <w:r>
        <w:rPr>
          <w:rFonts w:hint="eastAsia" w:ascii="仿宋" w:hAnsi="仿宋" w:eastAsia="仿宋" w:cs="微软雅黑"/>
          <w:color w:val="auto"/>
          <w:sz w:val="28"/>
          <w:szCs w:val="28"/>
          <w:highlight w:val="none"/>
        </w:rPr>
        <w:t>派</w:t>
      </w:r>
      <w:r>
        <w:rPr>
          <w:rFonts w:hint="eastAsia" w:ascii="仿宋" w:hAnsi="仿宋" w:eastAsia="仿宋" w:cs="___WRD_EMBED_SUB_41"/>
          <w:color w:val="auto"/>
          <w:sz w:val="28"/>
          <w:szCs w:val="28"/>
          <w:highlight w:val="none"/>
        </w:rPr>
        <w:t>人保修的，发包人可委托他人修理，除发生的费用从质保金中扣除外，发包人还有权每次从质保金中扣除1000元作为违约金。</w:t>
      </w:r>
      <w:r>
        <w:rPr>
          <w:rFonts w:hint="eastAsia" w:ascii="仿宋" w:hAnsi="仿宋" w:eastAsia="仿宋" w:cs="仿宋_GB2312"/>
          <w:color w:val="auto"/>
          <w:sz w:val="28"/>
          <w:szCs w:val="28"/>
          <w:highlight w:val="none"/>
        </w:rPr>
        <w:t>质保金不足以支付上述费用时，由承包人进行补足。</w:t>
      </w:r>
    </w:p>
    <w:p w14:paraId="13744D73">
      <w:pPr>
        <w:wordWrap w:val="0"/>
        <w:autoSpaceDE w:val="0"/>
        <w:autoSpaceDN w:val="0"/>
        <w:ind w:firstLine="560" w:firstLineChars="200"/>
        <w:rPr>
          <w:rFonts w:hint="eastAsia"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en-US" w:bidi="zh-CN"/>
        </w:rPr>
        <w:t>2.</w:t>
      </w:r>
      <w:r>
        <w:rPr>
          <w:rFonts w:hint="eastAsia" w:ascii="仿宋" w:hAnsi="仿宋" w:eastAsia="仿宋"/>
          <w:bCs/>
          <w:color w:val="auto"/>
          <w:kern w:val="0"/>
          <w:sz w:val="28"/>
          <w:szCs w:val="28"/>
          <w:highlight w:val="none"/>
          <w:lang w:val="zh-CN" w:bidi="zh-CN"/>
        </w:rPr>
        <w:t>若承包人累计超过3次整改仍未能解决问题的，发包人有权另行聘请第三方进行维修，由此产生的费用由发包人直接从质保金中扣除，不足部分发包人有权向承包人另行追索，并要求乙方向甲方支付合同价千分之三/次的违约金，质保金不足以支付违约金的，由承包人补足。</w:t>
      </w:r>
    </w:p>
    <w:p w14:paraId="45983EF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3.</w:t>
      </w:r>
      <w:r>
        <w:rPr>
          <w:rFonts w:hint="eastAsia" w:ascii="仿宋" w:hAnsi="仿宋" w:eastAsia="仿宋"/>
          <w:bCs/>
          <w:color w:val="auto"/>
          <w:kern w:val="0"/>
          <w:sz w:val="28"/>
          <w:szCs w:val="28"/>
          <w:highlight w:val="none"/>
          <w:lang w:val="zh-CN" w:bidi="zh-CN"/>
        </w:rPr>
        <w:t>对于涉及安全的质量问题，应当按照《建设工程质量管理条例》的规定，立即向当地建设行政主管部门报告，采取安全防范措施。非承包人施工质量引起的事故，抢修费用由发包人承担</w:t>
      </w:r>
      <w:r>
        <w:rPr>
          <w:rFonts w:ascii="仿宋" w:hAnsi="仿宋" w:eastAsia="仿宋"/>
          <w:bCs/>
          <w:color w:val="auto"/>
          <w:kern w:val="0"/>
          <w:sz w:val="28"/>
          <w:szCs w:val="28"/>
          <w:highlight w:val="none"/>
          <w:lang w:val="zh-CN" w:bidi="zh-CN"/>
        </w:rPr>
        <w:t>。</w:t>
      </w:r>
    </w:p>
    <w:p w14:paraId="7E7BDA2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4.</w:t>
      </w:r>
      <w:r>
        <w:rPr>
          <w:rFonts w:hint="eastAsia" w:ascii="仿宋" w:hAnsi="仿宋" w:eastAsia="仿宋"/>
          <w:bCs/>
          <w:color w:val="auto"/>
          <w:kern w:val="0"/>
          <w:sz w:val="28"/>
          <w:szCs w:val="28"/>
          <w:highlight w:val="none"/>
          <w:lang w:val="zh-CN" w:bidi="zh-CN"/>
        </w:rPr>
        <w:t>质量保修完成后，发包人收到承包人售后服务单次验收申请之日起</w:t>
      </w:r>
      <w:r>
        <w:rPr>
          <w:rFonts w:ascii="仿宋" w:hAnsi="仿宋" w:eastAsia="仿宋"/>
          <w:bCs/>
          <w:color w:val="auto"/>
          <w:kern w:val="0"/>
          <w:sz w:val="28"/>
          <w:szCs w:val="28"/>
          <w:highlight w:val="none"/>
          <w:lang w:val="zh-CN" w:bidi="zh-CN"/>
        </w:rPr>
        <w:t>10日历天内组织售后服务验收。</w:t>
      </w:r>
      <w:r>
        <w:rPr>
          <w:rFonts w:hint="eastAsia" w:ascii="仿宋" w:hAnsi="仿宋" w:eastAsia="仿宋"/>
          <w:bCs/>
          <w:color w:val="auto"/>
          <w:kern w:val="0"/>
          <w:sz w:val="28"/>
          <w:szCs w:val="28"/>
          <w:highlight w:val="none"/>
          <w:lang w:val="zh-CN" w:bidi="zh-CN"/>
        </w:rPr>
        <w:t>承包人未在约定时间内提供售后服务或完成售后服务整改，或整改后发包人验收仍无法达到要求的，发包人有权不予退还承包人的质保金且有权要求承包人向发包人支付合同价百分之三十的违约金，并且发包人可委托他人修理，发生的费用从质保金中扣除，并按照每次</w:t>
      </w:r>
      <w:r>
        <w:rPr>
          <w:rFonts w:ascii="仿宋" w:hAnsi="仿宋" w:eastAsia="仿宋"/>
          <w:bCs/>
          <w:color w:val="auto"/>
          <w:kern w:val="0"/>
          <w:sz w:val="28"/>
          <w:szCs w:val="28"/>
          <w:highlight w:val="none"/>
          <w:lang w:val="zh-CN" w:bidi="zh-CN"/>
        </w:rPr>
        <w:t>1000元从质保金中扣除违约金。质保金不足以支付上述费用时，由承包人进行补足。并且发包人有权继续追究承包人由此给发包人造成的损失和承包人的法律责任。</w:t>
      </w:r>
    </w:p>
    <w:p w14:paraId="2DF7665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四．保修费用</w:t>
      </w:r>
    </w:p>
    <w:p w14:paraId="0440B12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保修费用由造成质量缺陷的责任方承担。</w:t>
      </w:r>
    </w:p>
    <w:p w14:paraId="300509C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五．质量保证金的返还</w:t>
      </w:r>
    </w:p>
    <w:p w14:paraId="72ADB378">
      <w:pPr>
        <w:pStyle w:val="17"/>
        <w:ind w:firstLine="560" w:firstLineChars="200"/>
        <w:contextualSpacing/>
        <w:rPr>
          <w:rFonts w:ascii="仿宋" w:hAnsi="仿宋" w:eastAsia="仿宋"/>
          <w:bCs/>
          <w:color w:val="auto"/>
          <w:sz w:val="28"/>
          <w:szCs w:val="28"/>
          <w:highlight w:val="none"/>
          <w:lang w:bidi="zh-CN"/>
        </w:rPr>
      </w:pPr>
      <w:r>
        <w:rPr>
          <w:rFonts w:hint="eastAsia" w:ascii="仿宋" w:hAnsi="仿宋" w:eastAsia="仿宋"/>
          <w:bCs/>
          <w:color w:val="auto"/>
          <w:kern w:val="0"/>
          <w:sz w:val="28"/>
          <w:szCs w:val="28"/>
          <w:highlight w:val="none"/>
          <w:lang w:bidi="zh-CN"/>
        </w:rPr>
        <w:t>1）非防水工程质保期2年结束后，10个日历天内无息退还质量保证金的80%。防水工程质保期5年到期后，10个日历天内无息退还至质量保证金的100%。</w:t>
      </w:r>
    </w:p>
    <w:p w14:paraId="471E185E">
      <w:pPr>
        <w:pStyle w:val="17"/>
        <w:ind w:firstLine="560" w:firstLineChars="200"/>
        <w:contextualSpacing/>
        <w:rPr>
          <w:rFonts w:ascii="仿宋" w:hAnsi="仿宋" w:eastAsia="仿宋"/>
          <w:color w:val="auto"/>
          <w:sz w:val="28"/>
          <w:szCs w:val="28"/>
          <w:highlight w:val="none"/>
          <w:lang w:bidi="zh-CN"/>
        </w:rPr>
      </w:pPr>
      <w:r>
        <w:rPr>
          <w:rFonts w:ascii="仿宋" w:hAnsi="仿宋" w:eastAsia="仿宋"/>
          <w:bCs/>
          <w:color w:val="auto"/>
          <w:sz w:val="28"/>
          <w:szCs w:val="28"/>
          <w:highlight w:val="none"/>
          <w:lang w:bidi="zh-CN"/>
        </w:rPr>
        <w:t>3</w:t>
      </w:r>
      <w:r>
        <w:rPr>
          <w:rFonts w:ascii="仿宋" w:hAnsi="仿宋" w:eastAsia="仿宋"/>
          <w:color w:val="auto"/>
          <w:sz w:val="28"/>
          <w:szCs w:val="28"/>
          <w:highlight w:val="none"/>
        </w:rPr>
        <w:t>）因甲方原因逾期退还的，应当以未退还金额为基数，按合同订立时1年期贷款市场报价利率标准向乙方支付相应违约金，但违约金最高不得超过未退还金额的百分之五。若因乙方不及时或未提供“收到退还质保金（即履约保证金）的收据”、“售后服务验收报告单”、“质保金（即履约保证金）退还申请”的，则甲方不承担逾期退还违约责任。</w:t>
      </w:r>
    </w:p>
    <w:p w14:paraId="03E59D2E">
      <w:pPr>
        <w:autoSpaceDE w:val="0"/>
        <w:autoSpaceDN w:val="0"/>
        <w:ind w:firstLine="560" w:firstLineChars="200"/>
        <w:contextualSpacing/>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六.其它</w:t>
      </w:r>
    </w:p>
    <w:p w14:paraId="32C9543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双方约定的其它工程质量保修事项：无。</w:t>
      </w:r>
      <w:r>
        <w:rPr>
          <w:rFonts w:hint="eastAsia" w:ascii="仿宋" w:hAnsi="仿宋" w:eastAsia="仿宋"/>
          <w:bCs/>
          <w:color w:val="auto"/>
          <w:kern w:val="0"/>
          <w:sz w:val="28"/>
          <w:szCs w:val="28"/>
          <w:highlight w:val="none"/>
          <w:lang w:val="zh-CN" w:bidi="zh-CN"/>
        </w:rPr>
        <w:tab/>
      </w:r>
    </w:p>
    <w:p w14:paraId="33E16AC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本工程质量保修书，由施工合同发包人、承包人双方在竣工验收前共同签署，作为施工合同附件，其有效期限至保修期满。</w:t>
      </w:r>
    </w:p>
    <w:p w14:paraId="157D3C9E">
      <w:pPr>
        <w:wordWrap w:val="0"/>
        <w:autoSpaceDE w:val="0"/>
        <w:autoSpaceDN w:val="0"/>
        <w:ind w:firstLine="560" w:firstLineChars="200"/>
        <w:rPr>
          <w:rFonts w:ascii="仿宋" w:hAnsi="仿宋" w:eastAsia="仿宋"/>
          <w:bCs/>
          <w:color w:val="auto"/>
          <w:kern w:val="0"/>
          <w:sz w:val="28"/>
          <w:szCs w:val="28"/>
          <w:highlight w:val="none"/>
          <w:lang w:val="zh-CN" w:bidi="zh-CN"/>
        </w:rPr>
      </w:pPr>
    </w:p>
    <w:p w14:paraId="3348736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发包人(公章)：</w:t>
      </w:r>
      <w:r>
        <w:rPr>
          <w:rFonts w:hint="eastAsia" w:ascii="仿宋" w:hAnsi="仿宋" w:eastAsia="仿宋"/>
          <w:bCs/>
          <w:color w:val="auto"/>
          <w:kern w:val="0"/>
          <w:sz w:val="28"/>
          <w:szCs w:val="28"/>
          <w:highlight w:val="none"/>
          <w:lang w:bidi="zh-CN"/>
        </w:rPr>
        <w:t xml:space="preserve">成都市技师学院            </w:t>
      </w:r>
      <w:r>
        <w:rPr>
          <w:rFonts w:hint="eastAsia" w:ascii="仿宋" w:hAnsi="仿宋" w:eastAsia="仿宋"/>
          <w:bCs/>
          <w:color w:val="auto"/>
          <w:kern w:val="0"/>
          <w:sz w:val="28"/>
          <w:szCs w:val="28"/>
          <w:highlight w:val="none"/>
          <w:lang w:val="zh-CN" w:bidi="zh-CN"/>
        </w:rPr>
        <w:t xml:space="preserve">承包人(公章)： </w:t>
      </w:r>
    </w:p>
    <w:p w14:paraId="64A4410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法定代表人：(签字)</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法定代表人：(签字)</w:t>
      </w:r>
    </w:p>
    <w:p w14:paraId="6E407CF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或委托代理人：(签字)</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或委托代理人：(签字)</w:t>
      </w:r>
    </w:p>
    <w:p w14:paraId="4C8C5ADD">
      <w:pPr>
        <w:wordWrap w:val="0"/>
        <w:autoSpaceDE w:val="0"/>
        <w:autoSpaceDN w:val="0"/>
        <w:ind w:firstLine="1120" w:firstLineChars="4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年</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月</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日</w:t>
      </w:r>
      <w:r>
        <w:rPr>
          <w:rFonts w:hint="eastAsia" w:ascii="仿宋" w:hAnsi="仿宋" w:eastAsia="仿宋"/>
          <w:bCs/>
          <w:color w:val="auto"/>
          <w:kern w:val="0"/>
          <w:sz w:val="28"/>
          <w:szCs w:val="28"/>
          <w:highlight w:val="none"/>
          <w:lang w:bidi="zh-CN"/>
        </w:rPr>
        <w:t xml:space="preserve">                        </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年</w:t>
      </w:r>
      <w:r>
        <w:rPr>
          <w:rFonts w:hint="eastAsia" w:ascii="仿宋" w:hAnsi="仿宋" w:eastAsia="仿宋"/>
          <w:bCs/>
          <w:color w:val="auto"/>
          <w:kern w:val="0"/>
          <w:sz w:val="28"/>
          <w:szCs w:val="28"/>
          <w:highlight w:val="none"/>
          <w:lang w:bidi="zh-CN"/>
        </w:rPr>
        <w:t xml:space="preserve"> </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月</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日</w:t>
      </w:r>
    </w:p>
    <w:p w14:paraId="4B3521D9">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val="zh-CN" w:bidi="zh-CN"/>
        </w:rPr>
        <w:br w:type="page"/>
      </w:r>
      <w:r>
        <w:rPr>
          <w:rFonts w:hint="eastAsia" w:ascii="仿宋" w:hAnsi="仿宋" w:eastAsia="仿宋"/>
          <w:bCs/>
          <w:color w:val="auto"/>
          <w:kern w:val="0"/>
          <w:sz w:val="28"/>
          <w:szCs w:val="28"/>
          <w:highlight w:val="none"/>
          <w:lang w:bidi="zh-CN"/>
        </w:rPr>
        <w:t>第三部分</w:t>
      </w:r>
    </w:p>
    <w:p w14:paraId="7BCFB743">
      <w:pPr>
        <w:wordWrap w:val="0"/>
        <w:autoSpaceDE w:val="0"/>
        <w:autoSpaceDN w:val="0"/>
        <w:ind w:firstLine="560" w:firstLineChars="200"/>
        <w:jc w:val="center"/>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通用条款</w:t>
      </w:r>
    </w:p>
    <w:p w14:paraId="607BB14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通用条款使用国家工商行政管理局、中华人民共和国建设部印发的《建设工程施工合同示范文本》(GF-201</w:t>
      </w: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-0201)。</w:t>
      </w:r>
    </w:p>
    <w:p w14:paraId="03D0F043">
      <w:pPr>
        <w:wordWrap w:val="0"/>
        <w:autoSpaceDE w:val="0"/>
        <w:autoSpaceDN w:val="0"/>
        <w:ind w:firstLine="560" w:firstLineChars="200"/>
        <w:jc w:val="center"/>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(此处略)</w:t>
      </w:r>
    </w:p>
    <w:p w14:paraId="252DC03B">
      <w:pPr>
        <w:wordWrap w:val="0"/>
        <w:autoSpaceDE w:val="0"/>
        <w:autoSpaceDN w:val="0"/>
        <w:ind w:firstLine="560" w:firstLineChars="200"/>
        <w:rPr>
          <w:rFonts w:ascii="仿宋" w:hAnsi="仿宋" w:eastAsia="仿宋"/>
          <w:bCs/>
          <w:color w:val="auto"/>
          <w:kern w:val="0"/>
          <w:sz w:val="28"/>
          <w:szCs w:val="28"/>
          <w:highlight w:val="none"/>
          <w:lang w:val="zh-CN" w:bidi="zh-CN"/>
        </w:rPr>
      </w:pPr>
    </w:p>
    <w:p w14:paraId="6474EDB4">
      <w:pPr>
        <w:wordWrap w:val="0"/>
        <w:autoSpaceDE w:val="0"/>
        <w:autoSpaceDN w:val="0"/>
        <w:jc w:val="center"/>
        <w:rPr>
          <w:rFonts w:ascii="仿宋" w:hAnsi="仿宋" w:eastAsia="仿宋"/>
          <w:color w:val="auto"/>
          <w:kern w:val="0"/>
          <w:sz w:val="28"/>
          <w:szCs w:val="28"/>
          <w:highlight w:val="none"/>
          <w:lang w:bidi="zh-CN"/>
        </w:rPr>
      </w:pPr>
      <w:r>
        <w:rPr>
          <w:rFonts w:hint="eastAsia" w:ascii="仿宋" w:hAnsi="仿宋" w:eastAsia="仿宋"/>
          <w:bCs/>
          <w:color w:val="auto"/>
          <w:sz w:val="28"/>
          <w:szCs w:val="28"/>
          <w:highlight w:val="none"/>
          <w:lang w:val="zh-CN" w:bidi="zh-CN"/>
        </w:rPr>
        <w:br w:type="page"/>
      </w:r>
      <w:r>
        <w:rPr>
          <w:rFonts w:hint="eastAsia" w:ascii="仿宋" w:hAnsi="仿宋" w:eastAsia="仿宋"/>
          <w:bCs/>
          <w:color w:val="auto"/>
          <w:sz w:val="28"/>
          <w:szCs w:val="28"/>
          <w:highlight w:val="none"/>
          <w:lang w:bidi="zh-CN"/>
        </w:rPr>
        <w:t>第四部分</w:t>
      </w:r>
      <w:r>
        <w:rPr>
          <w:rFonts w:hint="eastAsia" w:ascii="仿宋" w:hAnsi="仿宋" w:eastAsia="仿宋"/>
          <w:bCs/>
          <w:color w:val="auto"/>
          <w:kern w:val="0"/>
          <w:sz w:val="28"/>
          <w:szCs w:val="28"/>
          <w:highlight w:val="none"/>
          <w:lang w:bidi="zh-CN"/>
        </w:rPr>
        <w:t xml:space="preserve">   专用条款</w:t>
      </w:r>
    </w:p>
    <w:p w14:paraId="4B422150">
      <w:pPr>
        <w:wordWrap w:val="0"/>
        <w:autoSpaceDE w:val="0"/>
        <w:autoSpaceDN w:val="0"/>
        <w:ind w:firstLine="560" w:firstLineChars="200"/>
        <w:jc w:val="center"/>
        <w:rPr>
          <w:rFonts w:ascii="仿宋" w:hAnsi="仿宋" w:eastAsia="仿宋"/>
          <w:bCs/>
          <w:color w:val="auto"/>
          <w:sz w:val="28"/>
          <w:szCs w:val="28"/>
          <w:highlight w:val="none"/>
          <w:lang w:bidi="zh-CN"/>
        </w:rPr>
      </w:pPr>
    </w:p>
    <w:p w14:paraId="6E7B676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1.一般约定</w:t>
      </w:r>
    </w:p>
    <w:p w14:paraId="6517E9F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1.1.1 其他合同文件包括：经审批的施工组织设计等施工过程中发生的一切有效文件。</w:t>
      </w:r>
    </w:p>
    <w:p w14:paraId="0FD9BFE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1.1.2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合同当事人及其他相关方</w:t>
      </w:r>
    </w:p>
    <w:p w14:paraId="23BB53A7">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val="zh-CN" w:bidi="zh-CN"/>
        </w:rPr>
        <w:t>1.1.2.4</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监理人：</w:t>
      </w:r>
    </w:p>
    <w:p w14:paraId="788B3A2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名</w:t>
      </w:r>
      <w:r>
        <w:rPr>
          <w:rFonts w:ascii="仿宋" w:hAnsi="仿宋" w:eastAsia="仿宋"/>
          <w:bCs/>
          <w:color w:val="auto"/>
          <w:kern w:val="0"/>
          <w:sz w:val="28"/>
          <w:szCs w:val="28"/>
          <w:highlight w:val="none"/>
          <w:lang w:val="zh-CN" w:bidi="zh-CN"/>
        </w:rPr>
        <w:t xml:space="preserve">    称：</w:t>
      </w:r>
      <w:r>
        <w:rPr>
          <w:rFonts w:hint="eastAsia" w:ascii="仿宋" w:hAnsi="仿宋" w:eastAsia="仿宋"/>
          <w:bCs/>
          <w:color w:val="auto"/>
          <w:kern w:val="0"/>
          <w:sz w:val="28"/>
          <w:szCs w:val="28"/>
          <w:highlight w:val="none"/>
          <w:lang w:val="en-US" w:bidi="zh-CN"/>
        </w:rPr>
        <w:t>xxxxx</w:t>
      </w:r>
      <w:r>
        <w:rPr>
          <w:rFonts w:ascii="仿宋" w:hAnsi="仿宋" w:eastAsia="仿宋"/>
          <w:bCs/>
          <w:color w:val="auto"/>
          <w:kern w:val="0"/>
          <w:sz w:val="28"/>
          <w:szCs w:val="28"/>
          <w:highlight w:val="none"/>
          <w:lang w:val="zh-CN" w:bidi="zh-CN"/>
        </w:rPr>
        <w:t xml:space="preserve"> ；</w:t>
      </w:r>
    </w:p>
    <w:p w14:paraId="636A58D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资质类别和等级：</w:t>
      </w:r>
      <w:r>
        <w:rPr>
          <w:rFonts w:hint="eastAsia" w:ascii="仿宋" w:hAnsi="仿宋" w:eastAsia="仿宋"/>
          <w:bCs/>
          <w:color w:val="auto"/>
          <w:kern w:val="0"/>
          <w:sz w:val="28"/>
          <w:szCs w:val="28"/>
          <w:highlight w:val="none"/>
          <w:lang w:val="en-US" w:bidi="zh-CN"/>
        </w:rPr>
        <w:t>xxxxx</w:t>
      </w:r>
      <w:r>
        <w:rPr>
          <w:rFonts w:hint="eastAsia" w:ascii="仿宋" w:hAnsi="仿宋" w:eastAsia="仿宋"/>
          <w:bCs/>
          <w:color w:val="auto"/>
          <w:kern w:val="0"/>
          <w:sz w:val="28"/>
          <w:szCs w:val="28"/>
          <w:highlight w:val="none"/>
          <w:lang w:val="zh-CN" w:bidi="zh-CN"/>
        </w:rPr>
        <w:t>；</w:t>
      </w:r>
    </w:p>
    <w:p w14:paraId="4788AF6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联系电话：</w:t>
      </w:r>
      <w:r>
        <w:rPr>
          <w:rFonts w:ascii="仿宋" w:hAnsi="仿宋" w:eastAsia="仿宋"/>
          <w:bCs/>
          <w:color w:val="auto"/>
          <w:kern w:val="0"/>
          <w:sz w:val="28"/>
          <w:szCs w:val="28"/>
          <w:highlight w:val="none"/>
          <w:lang w:val="zh-CN" w:bidi="zh-CN"/>
        </w:rPr>
        <w:t>/；</w:t>
      </w:r>
    </w:p>
    <w:p w14:paraId="537AFE6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电子信箱：</w:t>
      </w:r>
      <w:r>
        <w:rPr>
          <w:rFonts w:hint="eastAsia" w:ascii="仿宋" w:hAnsi="仿宋" w:eastAsia="仿宋"/>
          <w:bCs/>
          <w:color w:val="auto"/>
          <w:kern w:val="0"/>
          <w:sz w:val="28"/>
          <w:szCs w:val="28"/>
          <w:highlight w:val="none"/>
          <w:lang w:bidi="zh-CN"/>
        </w:rPr>
        <w:t xml:space="preserve">    </w:t>
      </w:r>
      <w:r>
        <w:rPr>
          <w:rFonts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w:t>
      </w:r>
    </w:p>
    <w:p w14:paraId="5D9871C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通信地址：</w:t>
      </w:r>
      <w:r>
        <w:rPr>
          <w:rFonts w:hint="eastAsia" w:ascii="仿宋" w:hAnsi="仿宋" w:eastAsia="仿宋"/>
          <w:bCs/>
          <w:color w:val="auto"/>
          <w:kern w:val="0"/>
          <w:sz w:val="28"/>
          <w:szCs w:val="28"/>
          <w:highlight w:val="none"/>
          <w:lang w:bidi="zh-CN"/>
        </w:rPr>
        <w:t xml:space="preserve">   </w:t>
      </w:r>
      <w:r>
        <w:rPr>
          <w:rFonts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w:t>
      </w:r>
    </w:p>
    <w:p w14:paraId="474A86E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1.1.2.5</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设计人：</w:t>
      </w:r>
      <w:r>
        <w:rPr>
          <w:rFonts w:hint="eastAsia" w:ascii="仿宋" w:hAnsi="仿宋" w:eastAsia="仿宋"/>
          <w:bCs/>
          <w:color w:val="auto"/>
          <w:kern w:val="0"/>
          <w:sz w:val="28"/>
          <w:szCs w:val="28"/>
          <w:highlight w:val="none"/>
          <w:lang w:bidi="zh-CN"/>
        </w:rPr>
        <w:t xml:space="preserve"> /</w:t>
      </w:r>
    </w:p>
    <w:p w14:paraId="5CD1AB8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名</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称：</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7C4A781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资质类别和等级：</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1C85112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联系电话：</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15D4BF3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电子信箱：</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2057D05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通信地址：</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7537A6E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1.1.3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工程和设备</w:t>
      </w:r>
    </w:p>
    <w:p w14:paraId="5F18685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1.1.3.7 作为施工现场组成部分的其他场所包括： / 。</w:t>
      </w:r>
    </w:p>
    <w:p w14:paraId="53325E2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1.1.3.9永久占地包括： / 。</w:t>
      </w:r>
    </w:p>
    <w:p w14:paraId="27F088C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1.1.3.10临时占地包括： / 。</w:t>
      </w:r>
    </w:p>
    <w:p w14:paraId="4BC8B4E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1.3法律</w:t>
      </w:r>
    </w:p>
    <w:p w14:paraId="7C86E54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适用于合同的其他规范性文件：执行现行的国家法律、行政法规；四川省、成都市的相关法规、规章和条例等。</w:t>
      </w:r>
    </w:p>
    <w:p w14:paraId="3CDEDE8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1.4</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标准和规范</w:t>
      </w:r>
    </w:p>
    <w:p w14:paraId="594FA17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1.4.1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适用于工程的标准规范包括：执行国家、地方现行标准规范及其配套文件。</w:t>
      </w:r>
    </w:p>
    <w:p w14:paraId="6D5547E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1.4.2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 xml:space="preserve">发包人提供国外标准、规范的名称：无； </w:t>
      </w:r>
    </w:p>
    <w:p w14:paraId="71F2FCA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发包人提供国外标准、规范的份数：无；</w:t>
      </w:r>
    </w:p>
    <w:p w14:paraId="4512151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1.4.3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发包人对工程的技术标准和功能要求的特殊要求： / 。</w:t>
      </w:r>
    </w:p>
    <w:p w14:paraId="246E0C6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1.5合同文件的优先顺序</w:t>
      </w:r>
    </w:p>
    <w:p w14:paraId="4030E09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合同文件组成及优先顺序为：</w:t>
      </w:r>
    </w:p>
    <w:p w14:paraId="6B61AD6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(1)合同协议书；</w:t>
      </w:r>
    </w:p>
    <w:p w14:paraId="3B0002C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(2)成交通知书；</w:t>
      </w:r>
    </w:p>
    <w:p w14:paraId="219E366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3</w:t>
      </w:r>
      <w:r>
        <w:rPr>
          <w:rFonts w:hint="eastAsia" w:ascii="仿宋" w:hAnsi="仿宋" w:eastAsia="仿宋"/>
          <w:bCs/>
          <w:color w:val="auto"/>
          <w:kern w:val="0"/>
          <w:sz w:val="28"/>
          <w:szCs w:val="28"/>
          <w:highlight w:val="none"/>
          <w:lang w:val="zh-CN" w:bidi="zh-CN"/>
        </w:rPr>
        <w:t>)响应函；</w:t>
      </w:r>
    </w:p>
    <w:p w14:paraId="00BC3FA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4</w:t>
      </w:r>
      <w:r>
        <w:rPr>
          <w:rFonts w:hint="eastAsia" w:ascii="仿宋" w:hAnsi="仿宋" w:eastAsia="仿宋"/>
          <w:bCs/>
          <w:color w:val="auto"/>
          <w:kern w:val="0"/>
          <w:sz w:val="28"/>
          <w:szCs w:val="28"/>
          <w:highlight w:val="none"/>
          <w:lang w:val="zh-CN" w:bidi="zh-CN"/>
        </w:rPr>
        <w:t>)专用合同条款及其附件；</w:t>
      </w:r>
    </w:p>
    <w:p w14:paraId="6B38085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5</w:t>
      </w:r>
      <w:r>
        <w:rPr>
          <w:rFonts w:hint="eastAsia" w:ascii="仿宋" w:hAnsi="仿宋" w:eastAsia="仿宋"/>
          <w:bCs/>
          <w:color w:val="auto"/>
          <w:kern w:val="0"/>
          <w:sz w:val="28"/>
          <w:szCs w:val="28"/>
          <w:highlight w:val="none"/>
          <w:lang w:val="zh-CN" w:bidi="zh-CN"/>
        </w:rPr>
        <w:t>)通用合同条款；</w:t>
      </w:r>
    </w:p>
    <w:p w14:paraId="1AB62E2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6</w:t>
      </w:r>
      <w:r>
        <w:rPr>
          <w:rFonts w:hint="eastAsia" w:ascii="仿宋" w:hAnsi="仿宋" w:eastAsia="仿宋"/>
          <w:bCs/>
          <w:color w:val="auto"/>
          <w:kern w:val="0"/>
          <w:sz w:val="28"/>
          <w:szCs w:val="28"/>
          <w:highlight w:val="none"/>
          <w:lang w:val="zh-CN" w:bidi="zh-CN"/>
        </w:rPr>
        <w:t>)采购项目技术、服务、合同主要内容及其他商务要求；</w:t>
      </w:r>
    </w:p>
    <w:p w14:paraId="4893CF7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)响应文件；</w:t>
      </w:r>
    </w:p>
    <w:p w14:paraId="6053FBF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)其他合同文件。</w:t>
      </w:r>
    </w:p>
    <w:p w14:paraId="0D7A7A1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上述各项合同文件包括合同当事人就该项合同文件所作出的补充和修改，属于同一类内容的文件，应以最新签署的为准。专用合同条款及其附件须经合同当事人签字或盖章。</w:t>
      </w:r>
    </w:p>
    <w:p w14:paraId="4DE424A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1.6</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联络</w:t>
      </w:r>
    </w:p>
    <w:p w14:paraId="335187B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1.6.1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发包人和承包人应当在</w:t>
      </w: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日历天内将与合同有关的通知、批准、证明、证书、指示、指令、要求、请求、同意、意见、确定和决定等书面函件送达对方当事人。</w:t>
      </w:r>
    </w:p>
    <w:p w14:paraId="5BEFDE3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1.6.2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发包人接收文件的地点：发包人办公所在地或施工现场发包人办公室；</w:t>
      </w:r>
    </w:p>
    <w:p w14:paraId="6219742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发包人指定的接收人为：</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07CF184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承包人接收文件的地点：承包人办公所在地或施工现场承包人办公室；</w:t>
      </w:r>
    </w:p>
    <w:p w14:paraId="297E51E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承包人指定的接收人为：具有承包人以公司书面形式授权的相关成员。</w:t>
      </w:r>
    </w:p>
    <w:p w14:paraId="793AF2C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监理人(若有)接收文件的地点：监理人办公所在地或施工现场监理人办公室；</w:t>
      </w:r>
    </w:p>
    <w:p w14:paraId="1B93D88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监理人(若有)指定的接收人为：具有监理人以公司书面形式授权的相关成员。</w:t>
      </w:r>
    </w:p>
    <w:p w14:paraId="1643982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1.7</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交通运输</w:t>
      </w:r>
    </w:p>
    <w:p w14:paraId="6AFFC61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1.7.1出入现场的权利</w:t>
      </w:r>
    </w:p>
    <w:p w14:paraId="6C03302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出入现场的权利的约定：承包人应根据本工程的施工需要，负责办理取得出入施工场地的专用和临时道路的通行权，以及取得为工程建设所需修建场外设施的权利，并承担手续办理、租地、修建、维护、拆除恢复等相关费用，该笔费用包含在投标报价中。</w:t>
      </w:r>
    </w:p>
    <w:p w14:paraId="1D9E3E1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1.7.2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场内交通</w:t>
      </w:r>
    </w:p>
    <w:p w14:paraId="53CC7D2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关于场外交通和场内交通的边界的约定： / 。</w:t>
      </w:r>
    </w:p>
    <w:p w14:paraId="3B7AD83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提供满足工程施工需要的场内道路和交通设施的约定：承包人为实施和完成本合同工程及缺陷修复工作中一切施工作业所需的临时出入现场和施工运输，应对所使用的由发包人提供的或按需要由承包人自建或借用、占用、利用当地的所有出入现场的临时道路和桥梁进行养护和维修，直到工程竣工，并应保证发包人免于承担因上述临时道路的使用所引起的补偿费、诉讼费、损害赔偿、指控费及其它开支。利用原有道路或利用原有道路改、扩建后使用的所有临时道路和桥梁应在工程完工后恢复原有的等级和通行要求；为施工而开辟的临时施工道路，工程完工后应恢复原状，由此引起的一切费用均由承包人自行承担，如果承包人拒不承担(未按发包方或监理通知要求执行的视为拒不承担)，发包人将另行委托有资质的施工单位进行上述恢复，所发生的费用发包人有权从应支付给承包人的任何款项内扣除。</w:t>
      </w:r>
    </w:p>
    <w:p w14:paraId="0837626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1.7.3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超大件和超重件的运输</w:t>
      </w:r>
    </w:p>
    <w:p w14:paraId="3DE7A35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运输超大件或超重件所需的道路和桥梁临时加固改造费用和其他有关费用由承包人承担。</w:t>
      </w:r>
    </w:p>
    <w:p w14:paraId="61C35A3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1.8 工程量清单错误的修正</w:t>
      </w:r>
    </w:p>
    <w:p w14:paraId="1D049F7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出现工程量清单错误时，是否调整合同价格：以工程签证单为准。</w:t>
      </w:r>
    </w:p>
    <w:p w14:paraId="065A49F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允许调整合同价格的工程量偏差范围：无。</w:t>
      </w:r>
    </w:p>
    <w:p w14:paraId="26F3780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2.发包人</w:t>
      </w:r>
    </w:p>
    <w:p w14:paraId="158A15C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许可或批准</w:t>
      </w:r>
    </w:p>
    <w:p w14:paraId="23B1FCF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发包人因客观原因未能及时办理完毕建设用地规划许可证、建设工程规划许可证、建设工程施工许可证等许可、批准或备案，由发包人承担相应的责任并承担由此增加的费用。</w:t>
      </w:r>
    </w:p>
    <w:p w14:paraId="50EE856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发包人代表</w:t>
      </w:r>
    </w:p>
    <w:p w14:paraId="76A003D3">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val="zh-CN" w:bidi="zh-CN"/>
        </w:rPr>
        <w:t>发包人代表：</w:t>
      </w:r>
    </w:p>
    <w:p w14:paraId="33A5F55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姓</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名：</w:t>
      </w:r>
      <w:r>
        <w:rPr>
          <w:rFonts w:hint="eastAsia" w:ascii="仿宋" w:hAnsi="仿宋" w:eastAsia="仿宋"/>
          <w:bCs/>
          <w:color w:val="auto"/>
          <w:kern w:val="0"/>
          <w:sz w:val="28"/>
          <w:szCs w:val="28"/>
          <w:highlight w:val="none"/>
          <w:lang w:bidi="zh-CN"/>
        </w:rPr>
        <w:t xml:space="preserve"> 基建科  </w:t>
      </w:r>
      <w:r>
        <w:rPr>
          <w:rFonts w:hint="eastAsia" w:ascii="仿宋" w:hAnsi="仿宋" w:eastAsia="仿宋"/>
          <w:bCs/>
          <w:color w:val="auto"/>
          <w:kern w:val="0"/>
          <w:sz w:val="28"/>
          <w:szCs w:val="28"/>
          <w:highlight w:val="none"/>
          <w:lang w:val="zh-CN" w:bidi="zh-CN"/>
        </w:rPr>
        <w:t>；</w:t>
      </w:r>
    </w:p>
    <w:p w14:paraId="1B23B62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身份证号：</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79926AD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职</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务：</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5D9EE7F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联系电话：</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2D56AE8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发包人对发包人代表的授权范围如下：详见授权委托书。</w:t>
      </w:r>
    </w:p>
    <w:p w14:paraId="7626D57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施工现场、施工条件和基础资料的提供</w:t>
      </w:r>
    </w:p>
    <w:p w14:paraId="2918CEC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提供施工现场</w:t>
      </w:r>
    </w:p>
    <w:p w14:paraId="59A59B3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关于发包人移交施工现场的期限要求：</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1EDA2EB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提供施工条件</w:t>
      </w:r>
    </w:p>
    <w:p w14:paraId="67180C1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关于发包人应负责提供施工所需要的条件，包括：</w:t>
      </w:r>
    </w:p>
    <w:p w14:paraId="3A5B275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发包人不提供现场用水用电接入点，施工用水用电由施工单位自行解决，相关费用由承包人在报价中综合考虑。</w:t>
      </w:r>
    </w:p>
    <w:p w14:paraId="50EB646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承包人应负责施工现场用电、用水的使用、维护，且在施工期间定期到有关部门足额缴纳费用，因承包人原因未按时缴纳相关费用而导致的滞纳金、罚款等均由承包人自行承担。</w:t>
      </w:r>
    </w:p>
    <w:p w14:paraId="4571276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发包人负责开工前书面通知承包人，确定发包人代表和监理组人员的分工和权责。</w:t>
      </w:r>
    </w:p>
    <w:p w14:paraId="598C49B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2.4.2.4</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发包人提供其能掌握的施工场地内地下管线和地下设施等有关资料，但场内地下管线和地下设施可能不限于资料内能反映的，承包人还应自行做好物探工作，发包人不另行支付任何费用。</w:t>
      </w:r>
    </w:p>
    <w:p w14:paraId="3B0A0A6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2.4.2.5</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发包人负责办理永久征地范围内的征地和移民，向承包人提供施工用地。</w:t>
      </w:r>
    </w:p>
    <w:p w14:paraId="735585B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2.4.2.6</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对于监理人或发包方指示、批准或同意的因施工放坡开挖和安全需要临时租用红线外土地的费用由发包人承担。</w:t>
      </w:r>
    </w:p>
    <w:p w14:paraId="01B2F53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2.4.2.7</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发包人有权对施工用地范围作适当的调整。</w:t>
      </w:r>
    </w:p>
    <w:p w14:paraId="720883E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2.5</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资金来源证明及支付担保</w:t>
      </w:r>
    </w:p>
    <w:p w14:paraId="2193392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发包人提供资金来源证明的期限要求：</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3918E32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发包人是否提供支付担保：</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02F77DA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发包人提供支付担保的形式：</w:t>
      </w:r>
      <w:r>
        <w:rPr>
          <w:rFonts w:hint="eastAsia" w:ascii="仿宋" w:hAnsi="仿宋" w:eastAsia="仿宋"/>
          <w:bCs/>
          <w:color w:val="auto"/>
          <w:kern w:val="0"/>
          <w:sz w:val="28"/>
          <w:szCs w:val="28"/>
          <w:highlight w:val="none"/>
          <w:lang w:bidi="zh-CN"/>
        </w:rPr>
        <w:t xml:space="preserve">  /  </w:t>
      </w:r>
      <w:r>
        <w:rPr>
          <w:rFonts w:hint="eastAsia" w:ascii="仿宋" w:hAnsi="仿宋" w:eastAsia="仿宋"/>
          <w:bCs/>
          <w:color w:val="auto"/>
          <w:kern w:val="0"/>
          <w:sz w:val="28"/>
          <w:szCs w:val="28"/>
          <w:highlight w:val="none"/>
          <w:lang w:val="zh-CN" w:bidi="zh-CN"/>
        </w:rPr>
        <w:t>。</w:t>
      </w:r>
    </w:p>
    <w:p w14:paraId="2A2E780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3.承包人</w:t>
      </w:r>
    </w:p>
    <w:p w14:paraId="69CC7CC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3.1承包人的一般义务</w:t>
      </w:r>
    </w:p>
    <w:p w14:paraId="7DD6F99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(1)承包人提交的竣工资料的内容：</w:t>
      </w:r>
    </w:p>
    <w:p w14:paraId="1A9C112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承包人需要提交的竣工资料套数：</w:t>
      </w:r>
      <w:r>
        <w:rPr>
          <w:rFonts w:hint="eastAsia" w:ascii="仿宋" w:hAnsi="仿宋" w:eastAsia="仿宋"/>
          <w:bCs/>
          <w:color w:val="auto"/>
          <w:kern w:val="0"/>
          <w:sz w:val="28"/>
          <w:szCs w:val="28"/>
          <w:highlight w:val="none"/>
          <w:lang w:bidi="zh-CN"/>
        </w:rPr>
        <w:t xml:space="preserve"> 2套 </w:t>
      </w:r>
      <w:r>
        <w:rPr>
          <w:rFonts w:hint="eastAsia" w:ascii="仿宋" w:hAnsi="仿宋" w:eastAsia="仿宋"/>
          <w:bCs/>
          <w:color w:val="auto"/>
          <w:kern w:val="0"/>
          <w:sz w:val="28"/>
          <w:szCs w:val="28"/>
          <w:highlight w:val="none"/>
          <w:lang w:val="zh-CN" w:bidi="zh-CN"/>
        </w:rPr>
        <w:t>。</w:t>
      </w:r>
    </w:p>
    <w:p w14:paraId="2C71A12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承包人提交的竣工资料的费用承担：由承包人自行承担。</w:t>
      </w:r>
    </w:p>
    <w:p w14:paraId="3F27A316">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val="zh-CN" w:bidi="zh-CN"/>
        </w:rPr>
        <w:t>承包人提交的竣工资料移交时间：</w:t>
      </w:r>
      <w:r>
        <w:rPr>
          <w:rFonts w:hint="eastAsia" w:ascii="仿宋" w:hAnsi="仿宋" w:eastAsia="仿宋"/>
          <w:bCs/>
          <w:color w:val="auto"/>
          <w:kern w:val="0"/>
          <w:sz w:val="28"/>
          <w:szCs w:val="28"/>
          <w:highlight w:val="none"/>
          <w:lang w:bidi="zh-CN"/>
        </w:rPr>
        <w:t>竣工验收后15个日历天内将施工过程中形成的有关完整资料分类整理，乙方提交的竣工资料和竣工图必须达到《建设工程文件归档整理规范》(GB/T50328-2001)规范要求。</w:t>
      </w:r>
    </w:p>
    <w:p w14:paraId="0A852D9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承包人提交的竣工资料形式要求：承包人应根据发包人要求并按照现行规范执行。</w:t>
      </w:r>
    </w:p>
    <w:p w14:paraId="6D0D2B4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(2)承包人应履行的其他义务：</w:t>
      </w:r>
    </w:p>
    <w:p w14:paraId="724A7CD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①承包人对合同工程的管理：在工程施工期间，为加强管理和认真履行合同义务，承包人应按响应文件所报名单委派项目经理、项目技术负责人，应保证及时到位并常驻现场进行对本合同工程的管理，并保持其岗位的相对稳定。</w:t>
      </w:r>
    </w:p>
    <w:p w14:paraId="26DDEE8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②承包人的职工：本合同签订后</w:t>
      </w:r>
      <w:r>
        <w:rPr>
          <w:rFonts w:hint="eastAsia" w:ascii="仿宋" w:hAnsi="仿宋" w:eastAsia="仿宋"/>
          <w:bCs/>
          <w:color w:val="auto"/>
          <w:kern w:val="0"/>
          <w:sz w:val="28"/>
          <w:szCs w:val="28"/>
          <w:highlight w:val="none"/>
          <w:lang w:bidi="zh-CN"/>
        </w:rPr>
        <w:t>3</w:t>
      </w:r>
      <w:r>
        <w:rPr>
          <w:rFonts w:hint="eastAsia" w:ascii="仿宋" w:hAnsi="仿宋" w:eastAsia="仿宋"/>
          <w:bCs/>
          <w:color w:val="auto"/>
          <w:kern w:val="0"/>
          <w:sz w:val="28"/>
          <w:szCs w:val="28"/>
          <w:highlight w:val="none"/>
          <w:lang w:val="zh-CN" w:bidi="zh-CN"/>
        </w:rPr>
        <w:t>日历天内，承包人应按响应文件所报名单委派派驻现场的人员到位。未经监理工程师或甲方的批准，这些人员不应无故不到位或被替换；若确实无法到位或需替换，需经监理工程师批准、发包人审核后，用同等资质和经历的人员替换；如需替换项目经理、技术负责人，尚须报 行政主管部门批准，完成相关程序。承包人须提供施工管理人员的上岗证、技术等级证等的复印件， 发包人和监理工程师有权清退不具备此类合格证件的人员离开施工现场。承包人须按开工通知要求及 时进场施工，保证施工使用的临时设施配置。</w:t>
      </w:r>
    </w:p>
    <w:p w14:paraId="1ABE9C1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③料场使用费：</w:t>
      </w:r>
    </w:p>
    <w:p w14:paraId="50F2606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除另有规定外，承包人应承担并支付为获得本合同工程所需的材料等所发生的料场使用费及其他开支或补偿费。</w:t>
      </w:r>
    </w:p>
    <w:p w14:paraId="5AED8AF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④现场清理：</w:t>
      </w:r>
    </w:p>
    <w:p w14:paraId="528C0D2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竣工验收时，承包人应从施工现场清除并运出承包人装备、剩余材料、垃圾和各种临时设施，并保持整个现场及工程整洁，达到监理工程师和发包人认为合格的使用状态，但经发包人同意承包人在现场指定范围内保留为缺陷责任期内履行本身义务所需的材料、装备及临时设施除外。费用已包括在响应报价内，包干使用。</w:t>
      </w:r>
    </w:p>
    <w:p w14:paraId="610D366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⑤承包人应无条件服从发包人从整体建设情况考虑而要求对临时设施、机械等的转移工作，如承包人不配合，发包人有权安排其他人转移，并扣除承包人相应费用，工期不变，安全文明责任由承包人承担。</w:t>
      </w:r>
    </w:p>
    <w:p w14:paraId="2B04D007">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3.2 服务要求：见合同条款“其他技术及服务要求”</w:t>
      </w:r>
    </w:p>
    <w:p w14:paraId="0A77233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项目经理</w:t>
      </w:r>
    </w:p>
    <w:p w14:paraId="4178DB9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ascii="仿宋" w:hAnsi="仿宋" w:eastAsia="仿宋"/>
          <w:bCs/>
          <w:color w:val="auto"/>
          <w:kern w:val="0"/>
          <w:sz w:val="28"/>
          <w:szCs w:val="28"/>
          <w:highlight w:val="none"/>
          <w:lang w:val="zh-CN" w:bidi="zh-CN"/>
        </w:rPr>
        <w:t>3.3.1</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项目经理：</w:t>
      </w:r>
    </w:p>
    <w:p w14:paraId="758DB0F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姓</w:t>
      </w:r>
      <w:r>
        <w:rPr>
          <w:rFonts w:ascii="仿宋" w:hAnsi="仿宋" w:eastAsia="仿宋"/>
          <w:bCs/>
          <w:color w:val="auto"/>
          <w:kern w:val="0"/>
          <w:sz w:val="28"/>
          <w:szCs w:val="28"/>
          <w:highlight w:val="none"/>
          <w:lang w:val="zh-CN" w:bidi="zh-CN"/>
        </w:rPr>
        <w:t xml:space="preserve">    </w:t>
      </w:r>
      <w:r>
        <w:rPr>
          <w:rFonts w:hint="eastAsia" w:ascii="仿宋" w:hAnsi="仿宋" w:eastAsia="仿宋"/>
          <w:bCs/>
          <w:color w:val="auto"/>
          <w:kern w:val="0"/>
          <w:sz w:val="28"/>
          <w:szCs w:val="28"/>
          <w:highlight w:val="none"/>
          <w:lang w:val="zh-CN" w:bidi="zh-CN"/>
        </w:rPr>
        <w:t>名：</w:t>
      </w:r>
      <w:r>
        <w:rPr>
          <w:rFonts w:hint="eastAsia" w:ascii="仿宋" w:hAnsi="仿宋" w:eastAsia="仿宋"/>
          <w:bCs/>
          <w:color w:val="auto"/>
          <w:kern w:val="0"/>
          <w:sz w:val="28"/>
          <w:szCs w:val="28"/>
          <w:highlight w:val="none"/>
          <w:lang w:bidi="zh-CN"/>
        </w:rPr>
        <w:t>X</w:t>
      </w:r>
      <w:r>
        <w:rPr>
          <w:rFonts w:ascii="仿宋" w:hAnsi="仿宋" w:eastAsia="仿宋"/>
          <w:bCs/>
          <w:color w:val="auto"/>
          <w:kern w:val="0"/>
          <w:sz w:val="28"/>
          <w:szCs w:val="28"/>
          <w:highlight w:val="none"/>
          <w:lang w:bidi="zh-CN"/>
        </w:rPr>
        <w:t>XXX</w:t>
      </w:r>
      <w:r>
        <w:rPr>
          <w:rFonts w:hint="eastAsia" w:ascii="仿宋" w:hAnsi="仿宋" w:eastAsia="仿宋"/>
          <w:bCs/>
          <w:color w:val="auto"/>
          <w:kern w:val="0"/>
          <w:sz w:val="28"/>
          <w:szCs w:val="28"/>
          <w:highlight w:val="none"/>
          <w:lang w:val="zh-CN" w:bidi="zh-CN"/>
        </w:rPr>
        <w:t>；</w:t>
      </w:r>
    </w:p>
    <w:p w14:paraId="76E5182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身份证号：</w:t>
      </w:r>
      <w:r>
        <w:rPr>
          <w:rFonts w:ascii="仿宋" w:hAnsi="仿宋" w:eastAsia="仿宋"/>
          <w:bCs/>
          <w:color w:val="auto"/>
          <w:kern w:val="0"/>
          <w:sz w:val="28"/>
          <w:szCs w:val="28"/>
          <w:highlight w:val="none"/>
          <w:lang w:val="zh-CN" w:bidi="zh-CN"/>
        </w:rPr>
        <w:t>XXXX</w:t>
      </w:r>
      <w:r>
        <w:rPr>
          <w:rFonts w:hint="eastAsia" w:ascii="仿宋" w:hAnsi="仿宋" w:eastAsia="仿宋"/>
          <w:bCs/>
          <w:color w:val="auto"/>
          <w:kern w:val="0"/>
          <w:sz w:val="28"/>
          <w:szCs w:val="28"/>
          <w:highlight w:val="none"/>
          <w:lang w:val="zh-CN" w:bidi="zh-CN"/>
        </w:rPr>
        <w:t>；</w:t>
      </w:r>
      <w:r>
        <w:rPr>
          <w:rFonts w:ascii="仿宋" w:hAnsi="仿宋" w:eastAsia="仿宋"/>
          <w:bCs/>
          <w:color w:val="auto"/>
          <w:kern w:val="0"/>
          <w:sz w:val="28"/>
          <w:szCs w:val="28"/>
          <w:highlight w:val="none"/>
          <w:lang w:val="zh-CN" w:bidi="zh-CN"/>
        </w:rPr>
        <w:t xml:space="preserve"> </w:t>
      </w:r>
    </w:p>
    <w:p w14:paraId="268DDA6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建造师执业资格等级：</w:t>
      </w:r>
      <w:r>
        <w:rPr>
          <w:rFonts w:hint="eastAsia" w:ascii="仿宋" w:hAnsi="仿宋" w:eastAsia="仿宋"/>
          <w:bCs/>
          <w:color w:val="auto"/>
          <w:kern w:val="0"/>
          <w:sz w:val="28"/>
          <w:szCs w:val="28"/>
          <w:highlight w:val="none"/>
          <w:lang w:bidi="zh-CN"/>
        </w:rPr>
        <w:t>X</w:t>
      </w:r>
      <w:r>
        <w:rPr>
          <w:rFonts w:ascii="仿宋" w:hAnsi="仿宋" w:eastAsia="仿宋"/>
          <w:bCs/>
          <w:color w:val="auto"/>
          <w:kern w:val="0"/>
          <w:sz w:val="28"/>
          <w:szCs w:val="28"/>
          <w:highlight w:val="none"/>
          <w:lang w:bidi="zh-CN"/>
        </w:rPr>
        <w:t xml:space="preserve">XX </w:t>
      </w:r>
      <w:r>
        <w:rPr>
          <w:rFonts w:hint="eastAsia" w:ascii="仿宋" w:hAnsi="仿宋" w:eastAsia="仿宋"/>
          <w:bCs/>
          <w:color w:val="auto"/>
          <w:kern w:val="0"/>
          <w:sz w:val="28"/>
          <w:szCs w:val="28"/>
          <w:highlight w:val="none"/>
          <w:lang w:val="zh-CN" w:bidi="zh-CN"/>
        </w:rPr>
        <w:t>；</w:t>
      </w:r>
      <w:r>
        <w:rPr>
          <w:rFonts w:ascii="仿宋" w:hAnsi="仿宋" w:eastAsia="仿宋"/>
          <w:bCs/>
          <w:color w:val="auto"/>
          <w:kern w:val="0"/>
          <w:sz w:val="28"/>
          <w:szCs w:val="28"/>
          <w:highlight w:val="none"/>
          <w:lang w:val="zh-CN" w:bidi="zh-CN"/>
        </w:rPr>
        <w:t xml:space="preserve"> </w:t>
      </w:r>
    </w:p>
    <w:p w14:paraId="697D3B2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建造师注册证书号：X</w:t>
      </w:r>
      <w:r>
        <w:rPr>
          <w:rFonts w:ascii="仿宋" w:hAnsi="仿宋" w:eastAsia="仿宋"/>
          <w:bCs/>
          <w:color w:val="auto"/>
          <w:kern w:val="0"/>
          <w:sz w:val="28"/>
          <w:szCs w:val="28"/>
          <w:highlight w:val="none"/>
          <w:lang w:val="zh-CN" w:bidi="zh-CN"/>
        </w:rPr>
        <w:t>XXX</w:t>
      </w:r>
      <w:r>
        <w:rPr>
          <w:rFonts w:hint="eastAsia" w:ascii="仿宋" w:hAnsi="仿宋" w:eastAsia="仿宋"/>
          <w:bCs/>
          <w:color w:val="auto"/>
          <w:kern w:val="0"/>
          <w:sz w:val="28"/>
          <w:szCs w:val="28"/>
          <w:highlight w:val="none"/>
          <w:lang w:val="zh-CN" w:bidi="zh-CN"/>
        </w:rPr>
        <w:t>；</w:t>
      </w:r>
    </w:p>
    <w:p w14:paraId="201C2FE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建造师执业印章号：X</w:t>
      </w:r>
      <w:r>
        <w:rPr>
          <w:rFonts w:ascii="仿宋" w:hAnsi="仿宋" w:eastAsia="仿宋"/>
          <w:bCs/>
          <w:color w:val="auto"/>
          <w:kern w:val="0"/>
          <w:sz w:val="28"/>
          <w:szCs w:val="28"/>
          <w:highlight w:val="none"/>
          <w:lang w:val="zh-CN" w:bidi="zh-CN"/>
        </w:rPr>
        <w:t>XXX</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w:t>
      </w:r>
    </w:p>
    <w:p w14:paraId="1BECA2B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联系电话：</w:t>
      </w:r>
      <w:r>
        <w:rPr>
          <w:rFonts w:ascii="仿宋" w:hAnsi="仿宋" w:eastAsia="仿宋"/>
          <w:bCs/>
          <w:color w:val="auto"/>
          <w:kern w:val="0"/>
          <w:sz w:val="28"/>
          <w:szCs w:val="28"/>
          <w:highlight w:val="none"/>
          <w:lang w:bidi="zh-CN"/>
        </w:rPr>
        <w:t>XXXX</w:t>
      </w:r>
      <w:r>
        <w:rPr>
          <w:rFonts w:hint="eastAsia" w:ascii="仿宋" w:hAnsi="仿宋" w:eastAsia="仿宋"/>
          <w:bCs/>
          <w:color w:val="auto"/>
          <w:kern w:val="0"/>
          <w:sz w:val="28"/>
          <w:szCs w:val="28"/>
          <w:highlight w:val="none"/>
          <w:lang w:val="zh-CN" w:bidi="zh-CN"/>
        </w:rPr>
        <w:t>；</w:t>
      </w:r>
    </w:p>
    <w:p w14:paraId="077002C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电子信箱：</w:t>
      </w:r>
      <w:r>
        <w:rPr>
          <w:rFonts w:ascii="仿宋" w:hAnsi="仿宋" w:eastAsia="仿宋"/>
          <w:bCs/>
          <w:color w:val="auto"/>
          <w:kern w:val="0"/>
          <w:sz w:val="28"/>
          <w:szCs w:val="28"/>
          <w:highlight w:val="none"/>
          <w:lang w:val="zh-CN" w:bidi="zh-CN"/>
        </w:rPr>
        <w:t>XXXX</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w:t>
      </w:r>
    </w:p>
    <w:p w14:paraId="22D5091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通信地址：X</w:t>
      </w:r>
      <w:r>
        <w:rPr>
          <w:rFonts w:ascii="仿宋" w:hAnsi="仿宋" w:eastAsia="仿宋"/>
          <w:bCs/>
          <w:color w:val="auto"/>
          <w:kern w:val="0"/>
          <w:sz w:val="28"/>
          <w:szCs w:val="28"/>
          <w:highlight w:val="none"/>
          <w:lang w:val="zh-CN" w:bidi="zh-CN"/>
        </w:rPr>
        <w:t>XXX</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 xml:space="preserve">； </w:t>
      </w:r>
    </w:p>
    <w:p w14:paraId="4B1B4A4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承包人对项目经理的授权范围如下：</w:t>
      </w:r>
      <w:r>
        <w:rPr>
          <w:rFonts w:hint="eastAsia" w:ascii="仿宋" w:hAnsi="仿宋" w:eastAsia="仿宋"/>
          <w:bCs/>
          <w:color w:val="auto"/>
          <w:kern w:val="0"/>
          <w:sz w:val="28"/>
          <w:szCs w:val="28"/>
          <w:highlight w:val="none"/>
          <w:lang w:bidi="zh-CN"/>
        </w:rPr>
        <w:t>全权处理该项目各方协调、施工、结算等所有与之相关的事项。</w:t>
      </w:r>
    </w:p>
    <w:p w14:paraId="09A5AF4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关于项目经理每月在施工现场的时间要求：项目经理应常驻现场，并接受发包人考勤检查。</w:t>
      </w:r>
    </w:p>
    <w:p w14:paraId="47EA315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承包人应自行为工作人员购买保险。承包人未提交劳动合同、没有为项目经理缴纳社会保险证明的违约责任：由承包人承担，如由此影响施工进度及为发包人的正常管理工作带来不便的，承包人应承担相应责任。</w:t>
      </w:r>
    </w:p>
    <w:p w14:paraId="1F76FD8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3.3.2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承包人擅自更换项目经理的违约责任：承包人在响应文件中报出的项目经理和技术负责人须 为成交后实际派驻本工程施工现场的项目经理和技术负责人。未经行政主管部门批准，发包人将不允许承包人更换项目经理和技术负责人。承包人派驻施工现场的项目经理、技术负责人与响应文件承诺不符的，视同转包，因此所造成的相关责任由承包人自行承担。承包人项目经理未经发包人书面认可不得擅自更换，否则发包人将按 5 万元/人/次对承包人进行处罚。</w:t>
      </w:r>
    </w:p>
    <w:p w14:paraId="6AC6AB7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3.3.3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无正当理由拒绝更换项目经理的违约责任：承包人派驻的项目经理严重违反本合同约定，或被认为有严重损害发包人利益或被证明其不具备作为项目经理的相应资质时，承包人应主动更换或应发包人要求更换项目经理。如在上述情况下承包人拒绝更换或拖延更换的，发包人有权追究承包人相应责任。</w:t>
      </w:r>
    </w:p>
    <w:p w14:paraId="64EA2D3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3.4</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承包人人员</w:t>
      </w:r>
    </w:p>
    <w:p w14:paraId="25B6053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3.4.1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承包人提交项目管理机构及施工现场管理人员安排报告的约定：为完成合同约定的各项工作 ，承包人应向现场派驻为实施和完成本合同工程及其缺陷的修复而需要的下述人员,所派往本工程的人 员应与响应文件相符:</w:t>
      </w:r>
    </w:p>
    <w:p w14:paraId="30F3EAD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1)</w:t>
      </w:r>
      <w:r>
        <w:rPr>
          <w:rFonts w:hint="eastAsia" w:ascii="仿宋" w:hAnsi="仿宋" w:eastAsia="仿宋"/>
          <w:bCs/>
          <w:color w:val="auto"/>
          <w:kern w:val="0"/>
          <w:sz w:val="28"/>
          <w:szCs w:val="28"/>
          <w:highlight w:val="none"/>
          <w:lang w:val="zh-CN" w:bidi="zh-CN"/>
        </w:rPr>
        <w:t>按响应文件附表中所报名单的各类专业技术人员、质检人员、安全员和管理人员。未经监理人或甲方的批准，这些人员不应不到位或被替换；若确实无法到位或需替换，需经监理人或甲方批准、审核后，用同等资质和经历的人员替换。</w:t>
      </w:r>
    </w:p>
    <w:p w14:paraId="5DDEF90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2)</w:t>
      </w:r>
      <w:r>
        <w:rPr>
          <w:rFonts w:hint="eastAsia" w:ascii="仿宋" w:hAnsi="仿宋" w:eastAsia="仿宋"/>
          <w:bCs/>
          <w:color w:val="auto"/>
          <w:kern w:val="0"/>
          <w:sz w:val="28"/>
          <w:szCs w:val="28"/>
          <w:highlight w:val="none"/>
          <w:lang w:val="zh-CN" w:bidi="zh-CN"/>
        </w:rPr>
        <w:t>其他满足本合同工程施工需要的在本行业中技术熟练、经验丰富的各类专业人员、质检人员、管理人员和有能力进行施工管理、并指导作业的工长；以及适应本工程需要的各类熟练技工、半熟练技工和普通工。</w:t>
      </w:r>
    </w:p>
    <w:p w14:paraId="6EB331E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3)</w:t>
      </w:r>
      <w:r>
        <w:rPr>
          <w:rFonts w:hint="eastAsia" w:ascii="仿宋" w:hAnsi="仿宋" w:eastAsia="仿宋"/>
          <w:bCs/>
          <w:color w:val="auto"/>
          <w:kern w:val="0"/>
          <w:sz w:val="28"/>
          <w:szCs w:val="28"/>
          <w:highlight w:val="none"/>
          <w:lang w:val="zh-CN" w:bidi="zh-CN"/>
        </w:rPr>
        <w:t>尽管承包人已按响应文件附表中所列的数量派遣了上述各类人员，但若监理人或发包人有充分理由认为这些人员仍不足以适应现场施工的需要并不能保证工程质量时，有权要求承包人继续增派或雇用这类人员，并书面通知承包人。承包人在接到上述通知后应立即执行监理人的上述指示，不得无故拖延。</w:t>
      </w:r>
    </w:p>
    <w:p w14:paraId="2D65163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3.5</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分包</w:t>
      </w:r>
    </w:p>
    <w:p w14:paraId="1A789F4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3.5.1分包的一般约定</w:t>
      </w:r>
    </w:p>
    <w:p w14:paraId="02E1DDF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禁止分包的工程包括：相关法律、法规、规章和条例禁止分包的所有工程。</w:t>
      </w:r>
    </w:p>
    <w:p w14:paraId="0F66878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主体结构、关键性工作的范围：</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w:t>
      </w:r>
    </w:p>
    <w:p w14:paraId="5A4B5D5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4.工程照管与成品、半成品保护</w:t>
      </w:r>
    </w:p>
    <w:p w14:paraId="778C2FC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承包人负责照管工程及工程相关的材料、工程设备的起始时间：承包人提供的材料和工程设备均由承包人负责采购、运输和保管。承包人应对其采购的材料和工程设备负责。</w:t>
      </w:r>
    </w:p>
    <w:p w14:paraId="62A23A9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承包人提供的材料和工程设备的其他约定：</w:t>
      </w:r>
    </w:p>
    <w:p w14:paraId="4470536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4.1.2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承包人应在每个月的 20 日之前将下月承包人所需材料的采购计划(包括各项材料和工程设备的供货人及品种、规格、数量和供货时间等)以书面形式提交给监理人审批，并向监理人提交其负责提供的材料和工程设备的质量证明文件，并满足合同约定的质量标准。由于承包人未按时提供材料采购计划而造成的一切后果均应由承包人自行承担。</w:t>
      </w:r>
    </w:p>
    <w:p w14:paraId="1714F28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4.1.3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若发包人或监理人对承包人出具的材料质量证明文件持异议，可申请相关质量技术监督部门进行检验，所发生的费用、损失由责任方承担。在处理质量争议期间，承包人应按监理人的指令保证工程正常施工。承包人自购材料虽经监理人质量检验和验收，但不解除承包人的质量责任。</w:t>
      </w:r>
    </w:p>
    <w:p w14:paraId="4167C8D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4.1.4</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发包人视工程具体情况，有权要求承包人在施工过程中更换相关材料及设备，对更换部分的价格以最新一期四川省信息价为准，若信息价不包含则以市场价为准，最终价格由第三方咨询公司结算核定；若在工程实施过程中，发包人发现承包人未按竞争性谈判文件、响应文件中给定的材料、设备选用范围采购，发包人有权要求承包人按竞争性谈判文件、响应文件中给定的材料、设备选用范围中的任何一种材料、设备替代，但不补偿价差。</w:t>
      </w:r>
    </w:p>
    <w:p w14:paraId="49F8ED3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4.1.5竞争性谈判文件、响应文件外增加的材料，若发包人委托承包人采购，承包人在投料前15日历天，将其质量、品牌、价格报发包人认质认价(认价以施工期间最新一期四川省信息价为准，若信息价不包含则以市场价为准，最终价格由结算审计核定)，否则在结算时按零价格处理。</w:t>
      </w:r>
    </w:p>
    <w:p w14:paraId="567070C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4.1.6</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所有材料均应符合设计和国家颁布的质量检验及验收规范要求，并按规定向监理工程师、发包人提供材质合格证书和检验合格证，经签字认可后才能用于工程中。与本工程无关的设备或不合格材料均不得进入现场，发包人有权进行检查，每发现一次，承包人向发包人支付罚金500～2000元，并须将该设备、材料等无条件的、及时运离现场。</w:t>
      </w:r>
    </w:p>
    <w:p w14:paraId="2E2465A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5.工程质量</w:t>
      </w:r>
    </w:p>
    <w:p w14:paraId="0AD4B0D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质量要求</w:t>
      </w:r>
    </w:p>
    <w:p w14:paraId="2CBD6F9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5.1.1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质量标准和要求：符合现行国家施工验收规范、建筑工程质量验收标准、质量</w:t>
      </w:r>
    </w:p>
    <w:p w14:paraId="107CFB6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评定标准及其他相关法律、法规当地行政主管部门颁发的有关文件要求。双方对工程质量有争议，由双方同意的工程质量检测机构鉴定，所需费用及因此造成的损失，由责任方承担。发包人有权对材料、半成品、成品等进行随机抽查，承包人应积极配合。</w:t>
      </w:r>
    </w:p>
    <w:p w14:paraId="0372B4B1">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关于工程奖项的约定：/。</w:t>
      </w:r>
    </w:p>
    <w:p w14:paraId="3755243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5.2 隐蔽工程检查</w:t>
      </w:r>
    </w:p>
    <w:p w14:paraId="7C22E61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5.2.1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承包人提前通知监理人或发包人隐蔽工程检查的期限的约定：承包人应在隐蔽工程完成后</w:t>
      </w:r>
      <w:r>
        <w:rPr>
          <w:rFonts w:ascii="仿宋" w:hAnsi="仿宋" w:eastAsia="仿宋"/>
          <w:bCs/>
          <w:color w:val="auto"/>
          <w:kern w:val="0"/>
          <w:sz w:val="28"/>
          <w:szCs w:val="28"/>
          <w:highlight w:val="none"/>
          <w:lang w:val="zh-CN" w:bidi="zh-CN"/>
        </w:rPr>
        <w:t>2</w:t>
      </w:r>
      <w:r>
        <w:rPr>
          <w:rFonts w:hint="eastAsia" w:ascii="仿宋" w:hAnsi="仿宋" w:eastAsia="仿宋"/>
          <w:bCs/>
          <w:color w:val="auto"/>
          <w:kern w:val="0"/>
          <w:sz w:val="28"/>
          <w:szCs w:val="28"/>
          <w:highlight w:val="none"/>
          <w:lang w:val="zh-CN" w:bidi="zh-CN"/>
        </w:rPr>
        <w:t>日历天</w:t>
      </w:r>
      <w:r>
        <w:rPr>
          <w:rFonts w:ascii="仿宋" w:hAnsi="仿宋" w:eastAsia="仿宋"/>
          <w:bCs/>
          <w:color w:val="auto"/>
          <w:kern w:val="0"/>
          <w:sz w:val="28"/>
          <w:szCs w:val="28"/>
          <w:highlight w:val="none"/>
          <w:lang w:val="zh-CN" w:bidi="zh-CN"/>
        </w:rPr>
        <w:t>内书面通知</w:t>
      </w:r>
      <w:r>
        <w:rPr>
          <w:rFonts w:hint="eastAsia" w:ascii="仿宋" w:hAnsi="仿宋" w:eastAsia="仿宋"/>
          <w:bCs/>
          <w:color w:val="auto"/>
          <w:kern w:val="0"/>
          <w:sz w:val="28"/>
          <w:szCs w:val="28"/>
          <w:highlight w:val="none"/>
          <w:lang w:val="zh-CN" w:bidi="zh-CN"/>
        </w:rPr>
        <w:t>发包人</w:t>
      </w:r>
      <w:r>
        <w:rPr>
          <w:rFonts w:ascii="仿宋" w:hAnsi="仿宋" w:eastAsia="仿宋"/>
          <w:bCs/>
          <w:color w:val="auto"/>
          <w:kern w:val="0"/>
          <w:sz w:val="28"/>
          <w:szCs w:val="28"/>
          <w:highlight w:val="none"/>
          <w:lang w:val="zh-CN" w:bidi="zh-CN"/>
        </w:rPr>
        <w:t>验收</w:t>
      </w:r>
      <w:r>
        <w:rPr>
          <w:rFonts w:hint="eastAsia" w:ascii="仿宋" w:hAnsi="仿宋" w:eastAsia="仿宋"/>
          <w:bCs/>
          <w:color w:val="auto"/>
          <w:kern w:val="0"/>
          <w:sz w:val="28"/>
          <w:szCs w:val="28"/>
          <w:highlight w:val="none"/>
          <w:lang w:val="zh-CN" w:bidi="zh-CN"/>
        </w:rPr>
        <w:t>。隐蔽工序施工完毕后，必须经监理或发包人验收合格并签字后(承包人应在验收前向监理人或发包人提交三检记录、施工交底记录等资料)，方可进行下道工序施工，否则每次承包人支付违约金2000元人民币，并且暂停支付该部分进度款，直至发包人确认该部分工程合格为止。</w:t>
      </w:r>
    </w:p>
    <w:p w14:paraId="7898097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5.2.2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监理人或发包人不能按时进行检查时，应提前10小时提交书面延期要求。</w:t>
      </w:r>
    </w:p>
    <w:p w14:paraId="087951E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5.2.3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关于延期最长不得超过：24小时。</w:t>
      </w:r>
    </w:p>
    <w:p w14:paraId="155A1DB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6.安全文明施工与环境保护</w:t>
      </w:r>
    </w:p>
    <w:p w14:paraId="117F59D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安全文明施工</w:t>
      </w:r>
    </w:p>
    <w:p w14:paraId="42C68F6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6.1.1</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项目安全生产的达标目标及相应事项的约定：按照相关规范及政策性文件执行 。</w:t>
      </w:r>
    </w:p>
    <w:p w14:paraId="6B76D72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6.1.2</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关于治安保卫的特别约定：应对突发治安事件的紧急预案：由承包人制定。</w:t>
      </w:r>
    </w:p>
    <w:p w14:paraId="7AADBC1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关于编制施工场地治安管理计划的约定：施工场地治安管理计划：由承包人编制。</w:t>
      </w:r>
    </w:p>
    <w:p w14:paraId="0806CE4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6.1.3</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文明施工</w:t>
      </w:r>
    </w:p>
    <w:p w14:paraId="6A3A874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合同当事人对文明施工的要求：按照相关规范及政策性文件执行。</w:t>
      </w:r>
    </w:p>
    <w:p w14:paraId="703B298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增加：</w:t>
      </w:r>
    </w:p>
    <w:p w14:paraId="76669C4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6.1.4 承包人的施工安全责任</w:t>
      </w:r>
    </w:p>
    <w:p w14:paraId="60CC9F7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补充以下内容：承包人应按合同约定履行安全职责，执行监理人或发包人有关安全工作的指示，并在设计交底完成后7日历天内，按合同约定的安全工作内容，编制施工安全措施计划报送监理人或发包人审批。</w:t>
      </w:r>
    </w:p>
    <w:p w14:paraId="1DB8125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6.1.5 事故处理</w:t>
      </w:r>
    </w:p>
    <w:p w14:paraId="560FE5E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补充以下内容</w:t>
      </w:r>
    </w:p>
    <w:p w14:paraId="5A2D6D0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人员工伤事故的责任</w:t>
      </w:r>
    </w:p>
    <w:p w14:paraId="7ECCBE7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(1)承包人应为其执行本合同所雇用的全部人员(包括分包人的人员)承担工伤事故责任。承包人可要求其分包人自行承担自己雇用人员的工伤事故责任，但发包人有权只向承包人追索其工伤事故责任。</w:t>
      </w:r>
    </w:p>
    <w:p w14:paraId="269BC5E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(2)发包人应为其现场机构雇用的全部人员承担工伤事故责任，但由于承包人过失造成在承包人责任区内工作的发包人的人员伤亡，则应由承包人承担其工伤事故责任。</w:t>
      </w:r>
    </w:p>
    <w:p w14:paraId="1AFDB76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人员工伤事故的赔偿</w:t>
      </w:r>
    </w:p>
    <w:p w14:paraId="09DAC1E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发包人和承包人应根据有关法律、法规和规章的规定，对工伤事故造成的伤亡按其各自的责任进行赔偿。其赔偿范围应包括人员伤亡和财产损失的赔偿、诉讼和其它有关费用。</w:t>
      </w:r>
    </w:p>
    <w:p w14:paraId="2CF53D5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3</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人身和财产的损失</w:t>
      </w:r>
    </w:p>
    <w:p w14:paraId="7E061CE1">
      <w:pPr>
        <w:wordWrap w:val="0"/>
        <w:autoSpaceDE w:val="0"/>
        <w:autoSpaceDN w:val="0"/>
        <w:ind w:firstLine="560" w:firstLineChars="200"/>
        <w:rPr>
          <w:bCs/>
          <w:color w:val="auto"/>
          <w:kern w:val="0"/>
          <w:highlight w:val="none"/>
          <w:lang w:val="zh-CN" w:bidi="zh-CN"/>
        </w:rPr>
      </w:pPr>
      <w:r>
        <w:rPr>
          <w:rFonts w:hint="eastAsia" w:ascii="仿宋" w:hAnsi="仿宋" w:eastAsia="仿宋"/>
          <w:bCs/>
          <w:color w:val="auto"/>
          <w:kern w:val="0"/>
          <w:sz w:val="28"/>
          <w:szCs w:val="28"/>
          <w:highlight w:val="none"/>
          <w:lang w:val="zh-CN" w:bidi="zh-CN"/>
        </w:rPr>
        <w:t>承包人应负责赔偿由于承包人的责任造成在其管辖区内发包人和承包人以及第三者人员的人身伤害和财产损失。</w:t>
      </w:r>
    </w:p>
    <w:p w14:paraId="647EBD0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上述赔偿费用应包括人身伤害和财产损失的赔偿费、诉讼费和其它有关费用。</w:t>
      </w:r>
    </w:p>
    <w:p w14:paraId="3EFFDF5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必须加强其现场人员的管理约束，施工期间严禁发生任何性质的打架斗殴事件。否则，每发生一次，发包人有权对责任双方处以2000～10000元的罚金，对承包人责任人的罚金和由此给发包人造成的直接经济损失，由发包人直接在支付给承包人的工程款中扣除。若承包人人员发生群体斗殴事件，造成恶劣的社会影响，发包人有权终止合同，承包人承担由此给发包人造成的一切损失。</w:t>
      </w:r>
    </w:p>
    <w:p w14:paraId="3FB2B55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4</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重大事故</w:t>
      </w:r>
    </w:p>
    <w:p w14:paraId="2ADE254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发生重大伤亡及其他安全事故，承包人应按有关规定立即上报政府有关部门并通知监理人或发包人，同时按政府有关部门要求处理，由事故责任方承担发生的费用。</w:t>
      </w:r>
    </w:p>
    <w:p w14:paraId="099CF9A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5</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事故争议</w:t>
      </w:r>
    </w:p>
    <w:p w14:paraId="56F833B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发包人与承包人对事故责任有争议时，应按政府有关部门的认定处理。</w:t>
      </w:r>
    </w:p>
    <w:p w14:paraId="0E476AA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事故处理</w:t>
      </w:r>
    </w:p>
    <w:p w14:paraId="4B29D409">
      <w:pPr>
        <w:wordWrap w:val="0"/>
        <w:autoSpaceDE w:val="0"/>
        <w:autoSpaceDN w:val="0"/>
        <w:ind w:firstLine="560" w:firstLineChars="200"/>
        <w:rPr>
          <w:rFonts w:hint="eastAsia"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6.1承包人安全责任</w:t>
      </w:r>
    </w:p>
    <w:p w14:paraId="0D94A175">
      <w:pPr>
        <w:wordWrap w:val="0"/>
        <w:autoSpaceDE w:val="0"/>
        <w:autoSpaceDN w:val="0"/>
        <w:ind w:firstLine="560" w:firstLineChars="200"/>
        <w:rPr>
          <w:rFonts w:hint="eastAsia"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由于承包人原因在施工场地内及其毗邻地带造成的发包人、监理人以及第三者人员伤亡和财产损失，由承包人负责赔偿。</w:t>
      </w:r>
    </w:p>
    <w:p w14:paraId="51C7612D">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bidi="zh-CN"/>
        </w:rPr>
        <w:t xml:space="preserve">6.2 </w:t>
      </w:r>
      <w:r>
        <w:rPr>
          <w:rFonts w:hint="eastAsia" w:ascii="仿宋" w:hAnsi="仿宋" w:eastAsia="仿宋"/>
          <w:bCs/>
          <w:color w:val="auto"/>
          <w:sz w:val="28"/>
          <w:szCs w:val="28"/>
          <w:highlight w:val="none"/>
          <w:lang w:val="zh-CN" w:bidi="zh-CN"/>
        </w:rPr>
        <w:t>环境保护</w:t>
      </w:r>
    </w:p>
    <w:p w14:paraId="440F90A4">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施工场地周围地下管线和邻近建筑物、构筑物(含文物保护建筑)、古树名木的保护要求及费用承担：承包人被认为在送交响应文件之前，已进行了现场考察，对现场和其周围环境以及可得到的有关资料进行了查看和核查，承包人已取得可能对</w:t>
      </w:r>
      <w:r>
        <w:rPr>
          <w:rFonts w:hint="eastAsia" w:ascii="仿宋" w:hAnsi="仿宋" w:eastAsia="仿宋"/>
          <w:bCs/>
          <w:color w:val="auto"/>
          <w:sz w:val="28"/>
          <w:szCs w:val="28"/>
          <w:highlight w:val="none"/>
          <w:lang w:bidi="zh-CN"/>
        </w:rPr>
        <w:t>谈判</w:t>
      </w:r>
      <w:r>
        <w:rPr>
          <w:rFonts w:hint="eastAsia" w:ascii="仿宋" w:hAnsi="仿宋" w:eastAsia="仿宋"/>
          <w:bCs/>
          <w:color w:val="auto"/>
          <w:sz w:val="28"/>
          <w:szCs w:val="28"/>
          <w:highlight w:val="none"/>
          <w:lang w:val="zh-CN" w:bidi="zh-CN"/>
        </w:rPr>
        <w:t>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该项按常规进行的保护工程费用已含在报价中不再另行支付，但重大文物建筑保护、古树名木的特殊保护所发生的费用按实际发生办理签证，由发包人承担。</w:t>
      </w:r>
    </w:p>
    <w:p w14:paraId="5D82522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.工期和进度</w:t>
      </w:r>
    </w:p>
    <w:p w14:paraId="00B2330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.1施工组织设计</w:t>
      </w:r>
    </w:p>
    <w:p w14:paraId="73EF429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.1.1合同当事人约定的施工组织设计应包括的其他内容：(由合同当事人在编制施工组织设计前书面将施工组织设计应包含的内容目录报监理人、发包人确认)。</w:t>
      </w:r>
    </w:p>
    <w:p w14:paraId="5794C4E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.1.2施工组织设计的提交和修改</w:t>
      </w:r>
    </w:p>
    <w:p w14:paraId="70EC69E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承包人提交详细施工组织设计的期限的约定：/。</w:t>
      </w:r>
    </w:p>
    <w:p w14:paraId="223F04B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发包人和监理人在收到详细的施工组织设计后确认或提出修改意见的期限： 5天(工作日)。</w:t>
      </w:r>
    </w:p>
    <w:p w14:paraId="355B870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.2施工进度计划</w:t>
      </w:r>
    </w:p>
    <w:p w14:paraId="23FD740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.2.1施工进度计划的修订</w:t>
      </w:r>
    </w:p>
    <w:p w14:paraId="7C4E47A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发包人和监理人在收到修订的施工进度 计划后确认或提出修改意见的期限：发生时另行约定。</w:t>
      </w:r>
    </w:p>
    <w:p w14:paraId="2FF2B58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.3 提前竣工的奖励</w:t>
      </w:r>
    </w:p>
    <w:p w14:paraId="64D83B28">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7</w:t>
      </w:r>
      <w:r>
        <w:rPr>
          <w:rFonts w:hint="eastAsia" w:ascii="仿宋" w:hAnsi="仿宋" w:eastAsia="仿宋"/>
          <w:bCs/>
          <w:color w:val="auto"/>
          <w:kern w:val="0"/>
          <w:sz w:val="28"/>
          <w:szCs w:val="28"/>
          <w:highlight w:val="none"/>
          <w:lang w:val="zh-CN" w:bidi="zh-CN"/>
        </w:rPr>
        <w:t>.3.1 提前竣工的奖励：发包人不支付工期提前的任何费用。</w:t>
      </w:r>
    </w:p>
    <w:p w14:paraId="2D1416C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.材料与设备</w:t>
      </w:r>
    </w:p>
    <w:p w14:paraId="159078E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.1材料与工程设备的保管与使用</w:t>
      </w:r>
    </w:p>
    <w:p w14:paraId="3D65C04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.1.1发包人供应的材料设备的保管费用的承担： 无甲供材料 。</w:t>
      </w:r>
    </w:p>
    <w:p w14:paraId="5A49AFAC">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.2样品</w:t>
      </w:r>
    </w:p>
    <w:p w14:paraId="43343DFF">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.2.1样品的报送与封存</w:t>
      </w:r>
    </w:p>
    <w:p w14:paraId="6264910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需要承包人报送样品的材料或工程设备，样品的种类、名称、规格、数量要求：由发包人确定。</w:t>
      </w:r>
    </w:p>
    <w:p w14:paraId="1306D2E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.3施工设备和临时设施</w:t>
      </w:r>
    </w:p>
    <w:p w14:paraId="252DE704">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8</w:t>
      </w:r>
      <w:r>
        <w:rPr>
          <w:rFonts w:hint="eastAsia" w:ascii="仿宋" w:hAnsi="仿宋" w:eastAsia="仿宋"/>
          <w:bCs/>
          <w:color w:val="auto"/>
          <w:kern w:val="0"/>
          <w:sz w:val="28"/>
          <w:szCs w:val="28"/>
          <w:highlight w:val="none"/>
          <w:lang w:val="zh-CN" w:bidi="zh-CN"/>
        </w:rPr>
        <w:t>.3.1承包人提供的施工设备和临时设施</w:t>
      </w:r>
    </w:p>
    <w:p w14:paraId="1C41C34B">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关于修建临时设施费用承担的约定：承包人自行承担临时设施的修建费用及所需土地的征(租)费用。</w:t>
      </w:r>
    </w:p>
    <w:p w14:paraId="658A77E2">
      <w:pPr>
        <w:numPr>
          <w:ilvl w:val="0"/>
          <w:numId w:val="6"/>
        </w:numPr>
        <w:tabs>
          <w:tab w:val="left" w:pos="0"/>
        </w:tabs>
        <w:wordWrap w:val="0"/>
        <w:autoSpaceDE w:val="0"/>
        <w:autoSpaceDN w:val="0"/>
        <w:adjustRightInd w:val="0"/>
        <w:snapToGrid w:val="0"/>
        <w:spacing w:line="440" w:lineRule="exact"/>
        <w:ind w:firstLine="560" w:firstLineChars="200"/>
        <w:jc w:val="left"/>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变更</w:t>
      </w:r>
    </w:p>
    <w:p w14:paraId="73092359">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bidi="zh-CN"/>
        </w:rPr>
        <w:t>9</w:t>
      </w:r>
      <w:r>
        <w:rPr>
          <w:rFonts w:hint="eastAsia" w:ascii="仿宋" w:hAnsi="仿宋" w:eastAsia="仿宋"/>
          <w:bCs/>
          <w:color w:val="auto"/>
          <w:sz w:val="28"/>
          <w:szCs w:val="28"/>
          <w:highlight w:val="none"/>
          <w:lang w:val="zh-CN" w:bidi="zh-CN"/>
        </w:rPr>
        <w:t>.1</w:t>
      </w:r>
      <w:r>
        <w:rPr>
          <w:rFonts w:hint="eastAsia" w:ascii="仿宋" w:hAnsi="仿宋" w:eastAsia="仿宋"/>
          <w:bCs/>
          <w:color w:val="auto"/>
          <w:sz w:val="28"/>
          <w:szCs w:val="28"/>
          <w:highlight w:val="none"/>
          <w:lang w:bidi="zh-CN"/>
        </w:rPr>
        <w:t xml:space="preserve"> </w:t>
      </w:r>
      <w:r>
        <w:rPr>
          <w:rFonts w:hint="eastAsia" w:ascii="仿宋" w:hAnsi="仿宋" w:eastAsia="仿宋"/>
          <w:bCs/>
          <w:color w:val="auto"/>
          <w:sz w:val="28"/>
          <w:szCs w:val="28"/>
          <w:highlight w:val="none"/>
          <w:lang w:val="zh-CN" w:bidi="zh-CN"/>
        </w:rPr>
        <w:t>变更的范围</w:t>
      </w:r>
    </w:p>
    <w:p w14:paraId="0A4A59C9">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合同履行过程中发生以下情形的，应按照本条约定进行变更：</w:t>
      </w:r>
    </w:p>
    <w:p w14:paraId="177970E5">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(1)增加或减少合同中任何工作，或追加额外的工作；</w:t>
      </w:r>
    </w:p>
    <w:p w14:paraId="0DD388F5">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(2)取消合同中任何工作，但转由他人实施的工作除外；</w:t>
      </w:r>
    </w:p>
    <w:p w14:paraId="23BFEB69">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(3)改变合同中任何工作的质量标准或其他特性；</w:t>
      </w:r>
    </w:p>
    <w:p w14:paraId="3F5CA8D0">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(4)改变工程的基线、标高、位置和尺寸；</w:t>
      </w:r>
    </w:p>
    <w:p w14:paraId="59294D09">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bidi="zh-CN"/>
        </w:rPr>
        <w:t xml:space="preserve">9.2 </w:t>
      </w:r>
      <w:r>
        <w:rPr>
          <w:rFonts w:hint="eastAsia" w:ascii="仿宋" w:hAnsi="仿宋" w:eastAsia="仿宋"/>
          <w:bCs/>
          <w:color w:val="auto"/>
          <w:sz w:val="28"/>
          <w:szCs w:val="28"/>
          <w:highlight w:val="none"/>
          <w:lang w:val="zh-CN" w:bidi="zh-CN"/>
        </w:rPr>
        <w:t>变更估价</w:t>
      </w:r>
    </w:p>
    <w:p w14:paraId="06EA2253">
      <w:pPr>
        <w:pStyle w:val="17"/>
        <w:ind w:firstLine="560" w:firstLineChars="200"/>
        <w:rPr>
          <w:rFonts w:ascii="仿宋" w:hAnsi="仿宋" w:eastAsia="仿宋"/>
          <w:color w:val="auto"/>
          <w:sz w:val="28"/>
          <w:szCs w:val="28"/>
          <w:highlight w:val="none"/>
          <w:lang w:val="zh-CN" w:bidi="zh-CN"/>
        </w:rPr>
      </w:pPr>
      <w:r>
        <w:rPr>
          <w:rFonts w:ascii="仿宋" w:hAnsi="仿宋" w:eastAsia="仿宋"/>
          <w:color w:val="auto"/>
          <w:sz w:val="28"/>
          <w:szCs w:val="28"/>
          <w:highlight w:val="none"/>
          <w:lang w:val="zh-CN" w:bidi="zh-CN"/>
        </w:rPr>
        <w:t>详见八、漏项工程处理</w:t>
      </w:r>
    </w:p>
    <w:p w14:paraId="58BD5099">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注：主要材料价格确定方法如下：</w:t>
      </w:r>
    </w:p>
    <w:p w14:paraId="2D36D167">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1</w:t>
      </w:r>
      <w:r>
        <w:rPr>
          <w:rFonts w:hint="eastAsia" w:ascii="仿宋" w:hAnsi="仿宋" w:eastAsia="仿宋"/>
          <w:bCs/>
          <w:color w:val="auto"/>
          <w:sz w:val="28"/>
          <w:szCs w:val="28"/>
          <w:highlight w:val="none"/>
          <w:lang w:bidi="zh-CN"/>
        </w:rPr>
        <w:t>.</w:t>
      </w:r>
      <w:r>
        <w:rPr>
          <w:rFonts w:hint="eastAsia" w:ascii="仿宋" w:hAnsi="仿宋" w:eastAsia="仿宋"/>
          <w:bCs/>
          <w:color w:val="auto"/>
          <w:sz w:val="28"/>
          <w:szCs w:val="28"/>
          <w:highlight w:val="none"/>
          <w:lang w:val="zh-CN" w:bidi="zh-CN"/>
        </w:rPr>
        <w:t>响应文件报价中有的材料价格，以响应文件报价中的材料价格执行。</w:t>
      </w:r>
    </w:p>
    <w:p w14:paraId="7A33F0C1">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2</w:t>
      </w:r>
      <w:r>
        <w:rPr>
          <w:rFonts w:hint="eastAsia" w:ascii="仿宋" w:hAnsi="仿宋" w:eastAsia="仿宋"/>
          <w:bCs/>
          <w:color w:val="auto"/>
          <w:sz w:val="28"/>
          <w:szCs w:val="28"/>
          <w:highlight w:val="none"/>
          <w:lang w:bidi="zh-CN"/>
        </w:rPr>
        <w:t>.</w:t>
      </w:r>
      <w:r>
        <w:rPr>
          <w:rFonts w:hint="eastAsia" w:ascii="仿宋" w:hAnsi="仿宋" w:eastAsia="仿宋"/>
          <w:bCs/>
          <w:color w:val="auto"/>
          <w:sz w:val="28"/>
          <w:szCs w:val="28"/>
          <w:highlight w:val="none"/>
          <w:lang w:val="zh-CN" w:bidi="zh-CN"/>
        </w:rPr>
        <w:t>响应文件报价中没有的材料价格，而成都市《工程造价信息》发布的</w:t>
      </w:r>
      <w:r>
        <w:rPr>
          <w:rFonts w:hint="eastAsia" w:ascii="仿宋" w:hAnsi="仿宋" w:eastAsia="仿宋"/>
          <w:bCs/>
          <w:color w:val="auto"/>
          <w:sz w:val="28"/>
          <w:szCs w:val="28"/>
          <w:highlight w:val="none"/>
          <w:lang w:bidi="zh-CN"/>
        </w:rPr>
        <w:t>郫都区</w:t>
      </w:r>
      <w:r>
        <w:rPr>
          <w:rFonts w:hint="eastAsia" w:ascii="仿宋" w:hAnsi="仿宋" w:eastAsia="仿宋"/>
          <w:bCs/>
          <w:color w:val="auto"/>
          <w:sz w:val="28"/>
          <w:szCs w:val="28"/>
          <w:highlight w:val="none"/>
          <w:lang w:val="zh-CN" w:bidi="zh-CN"/>
        </w:rPr>
        <w:t>材料综合价中有材料价格的，以信息价执行。　　</w:t>
      </w:r>
    </w:p>
    <w:p w14:paraId="062CC92A">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3</w:t>
      </w:r>
      <w:r>
        <w:rPr>
          <w:rFonts w:hint="eastAsia" w:ascii="仿宋" w:hAnsi="仿宋" w:eastAsia="仿宋"/>
          <w:bCs/>
          <w:color w:val="auto"/>
          <w:sz w:val="28"/>
          <w:szCs w:val="28"/>
          <w:highlight w:val="none"/>
          <w:lang w:bidi="zh-CN"/>
        </w:rPr>
        <w:t>.</w:t>
      </w:r>
      <w:r>
        <w:rPr>
          <w:rFonts w:hint="eastAsia" w:ascii="仿宋" w:hAnsi="仿宋" w:eastAsia="仿宋"/>
          <w:bCs/>
          <w:color w:val="auto"/>
          <w:sz w:val="28"/>
          <w:szCs w:val="28"/>
          <w:highlight w:val="none"/>
          <w:lang w:val="zh-CN" w:bidi="zh-CN"/>
        </w:rPr>
        <w:t>响应文件报价和信息价中均没有的材料价格，按发包人确认材料价格执行。</w:t>
      </w:r>
    </w:p>
    <w:p w14:paraId="459FFB68">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4</w:t>
      </w:r>
      <w:r>
        <w:rPr>
          <w:rFonts w:hint="eastAsia" w:ascii="仿宋" w:hAnsi="仿宋" w:eastAsia="仿宋"/>
          <w:bCs/>
          <w:color w:val="auto"/>
          <w:sz w:val="28"/>
          <w:szCs w:val="28"/>
          <w:highlight w:val="none"/>
          <w:lang w:bidi="zh-CN"/>
        </w:rPr>
        <w:t>.</w:t>
      </w:r>
      <w:r>
        <w:rPr>
          <w:rFonts w:hint="eastAsia" w:ascii="仿宋" w:hAnsi="仿宋" w:eastAsia="仿宋"/>
          <w:bCs/>
          <w:color w:val="auto"/>
          <w:sz w:val="28"/>
          <w:szCs w:val="28"/>
          <w:highlight w:val="none"/>
          <w:lang w:val="zh-CN" w:bidi="zh-CN"/>
        </w:rPr>
        <w:t xml:space="preserve"> </w:t>
      </w:r>
      <w:r>
        <w:rPr>
          <w:rFonts w:hint="eastAsia" w:ascii="仿宋" w:hAnsi="仿宋" w:eastAsia="仿宋"/>
          <w:bCs/>
          <w:color w:val="auto"/>
          <w:sz w:val="28"/>
          <w:szCs w:val="28"/>
          <w:highlight w:val="none"/>
          <w:lang w:bidi="zh-CN"/>
        </w:rPr>
        <w:t>甲方保留取消工程量清单中某些项目的权利。乙方须充分考虑此风险，在总价措施项目清单计价表相应项目中综合考虑，不得以此作为理由提出任何形式的索赔和调整造价。</w:t>
      </w:r>
      <w:r>
        <w:rPr>
          <w:rFonts w:hint="eastAsia" w:ascii="仿宋" w:hAnsi="仿宋" w:eastAsia="仿宋"/>
          <w:bCs/>
          <w:color w:val="auto"/>
          <w:sz w:val="28"/>
          <w:szCs w:val="28"/>
          <w:highlight w:val="none"/>
          <w:lang w:val="zh-CN" w:bidi="zh-CN"/>
        </w:rPr>
        <w:t>如果取消某分部分项工程量清单项目，则该项目价款不予支付。</w:t>
      </w:r>
    </w:p>
    <w:p w14:paraId="6CBC4AB4">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5</w:t>
      </w:r>
      <w:r>
        <w:rPr>
          <w:rFonts w:hint="eastAsia" w:ascii="仿宋" w:hAnsi="仿宋" w:eastAsia="仿宋"/>
          <w:bCs/>
          <w:color w:val="auto"/>
          <w:sz w:val="28"/>
          <w:szCs w:val="28"/>
          <w:highlight w:val="none"/>
          <w:lang w:bidi="zh-CN"/>
        </w:rPr>
        <w:t>.</w:t>
      </w:r>
      <w:r>
        <w:rPr>
          <w:rFonts w:hint="eastAsia" w:ascii="仿宋" w:hAnsi="仿宋" w:eastAsia="仿宋"/>
          <w:bCs/>
          <w:color w:val="auto"/>
          <w:sz w:val="28"/>
          <w:szCs w:val="28"/>
          <w:highlight w:val="none"/>
          <w:lang w:val="zh-CN" w:bidi="zh-CN"/>
        </w:rPr>
        <w:t>实际完成的工程量与工程量清单提供的分部分项工程量清单中给定的工程量不一致时，综合单价不予调整。</w:t>
      </w:r>
    </w:p>
    <w:p w14:paraId="096C123B">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bidi="zh-CN"/>
        </w:rPr>
        <w:t>9.2.</w:t>
      </w:r>
      <w:r>
        <w:rPr>
          <w:rFonts w:ascii="仿宋" w:hAnsi="仿宋" w:eastAsia="仿宋"/>
          <w:bCs/>
          <w:color w:val="auto"/>
          <w:sz w:val="28"/>
          <w:szCs w:val="28"/>
          <w:highlight w:val="none"/>
          <w:lang w:bidi="zh-CN"/>
        </w:rPr>
        <w:t>1</w:t>
      </w:r>
      <w:r>
        <w:rPr>
          <w:rFonts w:hint="eastAsia" w:ascii="仿宋" w:hAnsi="仿宋" w:eastAsia="仿宋"/>
          <w:bCs/>
          <w:color w:val="auto"/>
          <w:sz w:val="28"/>
          <w:szCs w:val="28"/>
          <w:highlight w:val="none"/>
          <w:lang w:bidi="zh-CN"/>
        </w:rPr>
        <w:t xml:space="preserve"> </w:t>
      </w:r>
      <w:r>
        <w:rPr>
          <w:rFonts w:hint="eastAsia" w:ascii="仿宋" w:hAnsi="仿宋" w:eastAsia="仿宋"/>
          <w:bCs/>
          <w:color w:val="auto"/>
          <w:sz w:val="28"/>
          <w:szCs w:val="28"/>
          <w:highlight w:val="none"/>
          <w:lang w:val="zh-CN" w:bidi="zh-CN"/>
        </w:rPr>
        <w:t>变更估价程序</w:t>
      </w:r>
    </w:p>
    <w:p w14:paraId="48E87673">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承包人应在收到变更指示后14</w:t>
      </w:r>
      <w:r>
        <w:rPr>
          <w:rFonts w:ascii="仿宋" w:hAnsi="仿宋" w:eastAsia="仿宋"/>
          <w:bCs/>
          <w:color w:val="auto"/>
          <w:sz w:val="28"/>
          <w:szCs w:val="28"/>
          <w:highlight w:val="none"/>
          <w:lang w:val="zh-CN" w:bidi="zh-CN"/>
        </w:rPr>
        <w:t>日历天</w:t>
      </w:r>
      <w:r>
        <w:rPr>
          <w:rFonts w:hint="eastAsia" w:ascii="仿宋" w:hAnsi="仿宋" w:eastAsia="仿宋"/>
          <w:bCs/>
          <w:color w:val="auto"/>
          <w:sz w:val="28"/>
          <w:szCs w:val="28"/>
          <w:highlight w:val="none"/>
          <w:lang w:val="zh-CN" w:bidi="zh-CN"/>
        </w:rPr>
        <w:t>内，向监理人提交变更估价申请。监理人应在收到承包人提交的变更估价申请后7</w:t>
      </w:r>
      <w:r>
        <w:rPr>
          <w:rFonts w:ascii="仿宋" w:hAnsi="仿宋" w:eastAsia="仿宋"/>
          <w:bCs/>
          <w:color w:val="auto"/>
          <w:sz w:val="28"/>
          <w:szCs w:val="28"/>
          <w:highlight w:val="none"/>
          <w:lang w:val="zh-CN" w:bidi="zh-CN"/>
        </w:rPr>
        <w:t>日历天</w:t>
      </w:r>
      <w:r>
        <w:rPr>
          <w:rFonts w:hint="eastAsia" w:ascii="仿宋" w:hAnsi="仿宋" w:eastAsia="仿宋"/>
          <w:bCs/>
          <w:color w:val="auto"/>
          <w:sz w:val="28"/>
          <w:szCs w:val="28"/>
          <w:highlight w:val="none"/>
          <w:lang w:val="zh-CN" w:bidi="zh-CN"/>
        </w:rPr>
        <w:t>内审查完毕并报送发包人，监理人对变更估价申请有异议，通知承包人修改后重新提交。发包人在承包人提交合理的变更估价申请后按照变更金额规模完成公司审批程序，公司审批程序完成且设计单位出具正式的设计变更通知单后，发包人在14</w:t>
      </w:r>
      <w:r>
        <w:rPr>
          <w:rFonts w:ascii="仿宋" w:hAnsi="仿宋" w:eastAsia="仿宋"/>
          <w:bCs/>
          <w:color w:val="auto"/>
          <w:sz w:val="28"/>
          <w:szCs w:val="28"/>
          <w:highlight w:val="none"/>
          <w:lang w:val="zh-CN" w:bidi="zh-CN"/>
        </w:rPr>
        <w:t>日历天</w:t>
      </w:r>
      <w:r>
        <w:rPr>
          <w:rFonts w:hint="eastAsia" w:ascii="仿宋" w:hAnsi="仿宋" w:eastAsia="仿宋"/>
          <w:bCs/>
          <w:color w:val="auto"/>
          <w:sz w:val="28"/>
          <w:szCs w:val="28"/>
          <w:highlight w:val="none"/>
          <w:lang w:val="zh-CN" w:bidi="zh-CN"/>
        </w:rPr>
        <w:t>内审批完毕。</w:t>
      </w:r>
    </w:p>
    <w:p w14:paraId="0462B82E">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bidi="zh-CN"/>
        </w:rPr>
        <w:t>9.</w:t>
      </w:r>
      <w:r>
        <w:rPr>
          <w:rFonts w:ascii="仿宋" w:hAnsi="仿宋" w:eastAsia="仿宋"/>
          <w:bCs/>
          <w:color w:val="auto"/>
          <w:sz w:val="28"/>
          <w:szCs w:val="28"/>
          <w:highlight w:val="none"/>
          <w:lang w:bidi="zh-CN"/>
        </w:rPr>
        <w:t>2</w:t>
      </w:r>
      <w:r>
        <w:rPr>
          <w:rFonts w:hint="eastAsia" w:ascii="仿宋" w:hAnsi="仿宋" w:eastAsia="仿宋"/>
          <w:bCs/>
          <w:color w:val="auto"/>
          <w:sz w:val="28"/>
          <w:szCs w:val="28"/>
          <w:highlight w:val="none"/>
          <w:lang w:val="zh-CN" w:bidi="zh-CN"/>
        </w:rPr>
        <w:t>暂列金额</w:t>
      </w:r>
    </w:p>
    <w:p w14:paraId="52392C54">
      <w:pPr>
        <w:wordWrap w:val="0"/>
        <w:autoSpaceDE w:val="0"/>
        <w:autoSpaceDN w:val="0"/>
        <w:ind w:firstLine="560" w:firstLineChars="200"/>
        <w:rPr>
          <w:rFonts w:ascii="仿宋" w:hAnsi="仿宋" w:eastAsia="仿宋"/>
          <w:bCs/>
          <w:color w:val="auto"/>
          <w:sz w:val="28"/>
          <w:szCs w:val="28"/>
          <w:highlight w:val="none"/>
          <w:lang w:val="zh-CN" w:bidi="zh-CN"/>
        </w:rPr>
      </w:pPr>
      <w:r>
        <w:rPr>
          <w:rFonts w:hint="eastAsia" w:ascii="仿宋" w:hAnsi="仿宋" w:eastAsia="仿宋"/>
          <w:bCs/>
          <w:color w:val="auto"/>
          <w:sz w:val="28"/>
          <w:szCs w:val="28"/>
          <w:highlight w:val="none"/>
          <w:lang w:val="zh-CN" w:bidi="zh-CN"/>
        </w:rPr>
        <w:t>合同当事人关于暂列金额使用的约定：按照《建设工程工程量清单计价规范》(GB50500-2013)中关于暂列金的规定执行。</w:t>
      </w:r>
    </w:p>
    <w:p w14:paraId="3076822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10.</w:t>
      </w:r>
      <w:r>
        <w:rPr>
          <w:rFonts w:hint="eastAsia" w:ascii="仿宋" w:hAnsi="仿宋" w:eastAsia="仿宋"/>
          <w:bCs/>
          <w:color w:val="auto"/>
          <w:kern w:val="0"/>
          <w:sz w:val="28"/>
          <w:szCs w:val="28"/>
          <w:highlight w:val="none"/>
          <w:lang w:val="zh-CN" w:bidi="zh-CN"/>
        </w:rPr>
        <w:t>价格调整</w:t>
      </w:r>
    </w:p>
    <w:p w14:paraId="6C7F02C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本合同价款采用 固定综合单价合同方式确定。</w:t>
      </w:r>
    </w:p>
    <w:p w14:paraId="2E3D5CB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采用固定单价合同，合同价款中包括的风险范围：除本条约定的价款调整办法以外的所有风险。</w:t>
      </w:r>
    </w:p>
    <w:p w14:paraId="18D30AE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风险费用的计算方法：已自行考虑，包含在总报价中。</w:t>
      </w:r>
    </w:p>
    <w:p w14:paraId="010BD5D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11.</w:t>
      </w:r>
      <w:r>
        <w:rPr>
          <w:rFonts w:hint="eastAsia" w:ascii="仿宋" w:hAnsi="仿宋" w:eastAsia="仿宋"/>
          <w:bCs/>
          <w:color w:val="auto"/>
          <w:kern w:val="0"/>
          <w:sz w:val="28"/>
          <w:szCs w:val="28"/>
          <w:highlight w:val="none"/>
          <w:lang w:val="zh-CN" w:bidi="zh-CN"/>
        </w:rPr>
        <w:t>补充</w:t>
      </w:r>
    </w:p>
    <w:p w14:paraId="3A42127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一</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因发包人原因导致工期延误承包人要求延长工期的处理</w:t>
      </w:r>
    </w:p>
    <w:p w14:paraId="50863E8E">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若发生发包人的工期延误事件时，承包人应立即通知发包人和监理人，并在发出该通知后的7</w:t>
      </w:r>
      <w:r>
        <w:rPr>
          <w:rFonts w:ascii="仿宋" w:hAnsi="仿宋" w:eastAsia="仿宋"/>
          <w:bCs/>
          <w:color w:val="auto"/>
          <w:sz w:val="28"/>
          <w:szCs w:val="28"/>
          <w:highlight w:val="none"/>
          <w:lang w:val="zh-CN" w:bidi="zh-CN"/>
        </w:rPr>
        <w:t>日历天</w:t>
      </w:r>
      <w:r>
        <w:rPr>
          <w:rFonts w:hint="eastAsia" w:ascii="仿宋" w:hAnsi="仿宋" w:eastAsia="仿宋"/>
          <w:bCs/>
          <w:color w:val="auto"/>
          <w:kern w:val="0"/>
          <w:sz w:val="28"/>
          <w:szCs w:val="28"/>
          <w:highlight w:val="none"/>
          <w:lang w:val="zh-CN" w:bidi="zh-CN"/>
        </w:rPr>
        <w:t>内，向监理人或发包人提交一份细节报告，详细说明发生这事件的情节和对工期的影响程度，并修订进度计划和编制赶工措施报告报送监理人或发包人审批。</w:t>
      </w:r>
    </w:p>
    <w:p w14:paraId="7F928B96">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2</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若事件的持续时间较长或事件影响工期较长，当承包人采取了赶工措施而无法实现工程按期竣工时，除应按上述第1项规定的程序办理外，承包人应在事件结束后的7</w:t>
      </w:r>
      <w:r>
        <w:rPr>
          <w:rFonts w:ascii="仿宋" w:hAnsi="仿宋" w:eastAsia="仿宋"/>
          <w:bCs/>
          <w:color w:val="auto"/>
          <w:sz w:val="28"/>
          <w:szCs w:val="28"/>
          <w:highlight w:val="none"/>
          <w:lang w:val="zh-CN" w:bidi="zh-CN"/>
        </w:rPr>
        <w:t>日历天</w:t>
      </w:r>
      <w:r>
        <w:rPr>
          <w:rFonts w:hint="eastAsia" w:ascii="仿宋" w:hAnsi="仿宋" w:eastAsia="仿宋"/>
          <w:bCs/>
          <w:color w:val="auto"/>
          <w:kern w:val="0"/>
          <w:sz w:val="28"/>
          <w:szCs w:val="28"/>
          <w:highlight w:val="none"/>
          <w:lang w:val="zh-CN" w:bidi="zh-CN"/>
        </w:rPr>
        <w:t>内，提交一份补充细节报告， 详细说明要求延长工期的理由，并修订进度计划。</w:t>
      </w:r>
    </w:p>
    <w:p w14:paraId="251AF0E6">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val="zh-CN" w:bidi="zh-CN"/>
        </w:rPr>
        <w:t>3</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监理人或发包人应及时调查核实上述第1和2项中承包人提交的细节报告和补充细节报告，并在审批修订进度计划的同时，与发包人和承包人协商确定延长工期的合理天数，由发包人通知承包人。</w:t>
      </w:r>
    </w:p>
    <w:p w14:paraId="6B642660">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二</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承包人的工期延误</w:t>
      </w:r>
    </w:p>
    <w:p w14:paraId="5DB8A1CF">
      <w:pPr>
        <w:wordWrap w:val="0"/>
        <w:autoSpaceDE w:val="0"/>
        <w:autoSpaceDN w:val="0"/>
        <w:ind w:firstLine="560" w:firstLineChars="200"/>
        <w:rPr>
          <w:rFonts w:ascii="仿宋" w:hAnsi="仿宋" w:eastAsia="仿宋"/>
          <w:bCs/>
          <w:color w:val="auto"/>
          <w:kern w:val="0"/>
          <w:sz w:val="28"/>
          <w:szCs w:val="28"/>
          <w:highlight w:val="none"/>
          <w:lang w:bidi="zh-CN"/>
        </w:rPr>
      </w:pPr>
      <w:r>
        <w:rPr>
          <w:rFonts w:hint="eastAsia" w:ascii="仿宋" w:hAnsi="仿宋" w:eastAsia="仿宋"/>
          <w:bCs/>
          <w:color w:val="auto"/>
          <w:kern w:val="0"/>
          <w:sz w:val="28"/>
          <w:szCs w:val="28"/>
          <w:highlight w:val="none"/>
          <w:lang w:val="zh-CN" w:bidi="zh-CN"/>
        </w:rPr>
        <w:t>补充以下内容</w:t>
      </w:r>
      <w:r>
        <w:rPr>
          <w:rFonts w:hint="eastAsia" w:ascii="仿宋" w:hAnsi="仿宋" w:eastAsia="仿宋"/>
          <w:bCs/>
          <w:color w:val="auto"/>
          <w:kern w:val="0"/>
          <w:sz w:val="28"/>
          <w:szCs w:val="28"/>
          <w:highlight w:val="none"/>
          <w:lang w:bidi="zh-CN"/>
        </w:rPr>
        <w:t>:</w:t>
      </w:r>
    </w:p>
    <w:p w14:paraId="07A3AD42">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1</w:t>
      </w:r>
      <w:r>
        <w:rPr>
          <w:rFonts w:hint="eastAsia" w:ascii="仿宋" w:hAnsi="仿宋" w:eastAsia="仿宋"/>
          <w:bCs/>
          <w:color w:val="auto"/>
          <w:kern w:val="0"/>
          <w:sz w:val="28"/>
          <w:szCs w:val="28"/>
          <w:highlight w:val="none"/>
          <w:lang w:bidi="zh-CN"/>
        </w:rPr>
        <w:t>.</w:t>
      </w:r>
      <w:r>
        <w:rPr>
          <w:rFonts w:hint="eastAsia" w:ascii="仿宋" w:hAnsi="仿宋" w:eastAsia="仿宋"/>
          <w:bCs/>
          <w:color w:val="auto"/>
          <w:kern w:val="0"/>
          <w:sz w:val="28"/>
          <w:szCs w:val="28"/>
          <w:highlight w:val="none"/>
          <w:lang w:val="zh-CN" w:bidi="zh-CN"/>
        </w:rPr>
        <w:t>承包人应在签约工期内完成所有工作内容的施工。如总工期逾期，承包人向发包人支付违约金。</w:t>
      </w:r>
    </w:p>
    <w:p w14:paraId="1C817C25">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bidi="zh-CN"/>
        </w:rPr>
        <w:t>2.</w:t>
      </w:r>
      <w:r>
        <w:rPr>
          <w:rFonts w:hint="eastAsia" w:ascii="仿宋" w:hAnsi="仿宋" w:eastAsia="仿宋"/>
          <w:bCs/>
          <w:color w:val="auto"/>
          <w:kern w:val="0"/>
          <w:sz w:val="28"/>
          <w:szCs w:val="28"/>
          <w:highlight w:val="none"/>
          <w:lang w:val="zh-CN" w:bidi="zh-CN"/>
        </w:rPr>
        <w:t>双方约定的承包人其他违约责任： 由承包人造成重大质量事故、重大工作事故，承包方承担全部行政、经济、刑事责任。因承包人违反文明施工管理、卫生管理、安全生产管理、扬尘污染防治管理等规定，造成后果的由承包方承担一切法律、经济后果和行政责任。</w:t>
      </w:r>
    </w:p>
    <w:p w14:paraId="39F46247">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三、承包人若为中小企业，在签订本合同后若需向融资机构申请融资，发包人应按照成都市财政局、中国人民银行成都分行营业管理部关于印发《成都市中小企业政府采购信用融资暂行办法》和《成都市级支持中小企业政府采购信用融资实施方案》的通知(成财采〔2019〕17号)支持并配合承包人开展政府采购信用融资。</w:t>
      </w:r>
    </w:p>
    <w:p w14:paraId="5F304623">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双方约定合同份数：本合同一式陆份。其中甲方肆份、乙方贰份</w:t>
      </w:r>
      <w:r>
        <w:rPr>
          <w:rFonts w:ascii="仿宋" w:hAnsi="仿宋" w:eastAsia="仿宋"/>
          <w:bCs/>
          <w:color w:val="auto"/>
          <w:kern w:val="0"/>
          <w:sz w:val="28"/>
          <w:szCs w:val="28"/>
          <w:highlight w:val="none"/>
          <w:lang w:val="zh-CN" w:bidi="zh-CN"/>
        </w:rPr>
        <w:t>。</w:t>
      </w:r>
    </w:p>
    <w:p w14:paraId="02E60106">
      <w:pPr>
        <w:wordWrap w:val="0"/>
        <w:autoSpaceDE w:val="0"/>
        <w:autoSpaceDN w:val="0"/>
        <w:ind w:firstLine="560" w:firstLineChars="200"/>
        <w:rPr>
          <w:rFonts w:ascii="仿宋" w:hAnsi="仿宋" w:eastAsia="仿宋"/>
          <w:bCs/>
          <w:color w:val="auto"/>
          <w:kern w:val="0"/>
          <w:sz w:val="28"/>
          <w:szCs w:val="28"/>
          <w:highlight w:val="none"/>
          <w:lang w:val="zh-CN" w:bidi="zh-CN"/>
        </w:rPr>
      </w:pPr>
    </w:p>
    <w:p w14:paraId="4D26A8D4">
      <w:pPr>
        <w:wordWrap w:val="0"/>
        <w:autoSpaceDE w:val="0"/>
        <w:autoSpaceDN w:val="0"/>
        <w:ind w:firstLine="560" w:firstLineChars="200"/>
        <w:rPr>
          <w:rFonts w:ascii="仿宋" w:hAnsi="仿宋" w:eastAsia="仿宋"/>
          <w:bCs/>
          <w:color w:val="auto"/>
          <w:kern w:val="0"/>
          <w:sz w:val="28"/>
          <w:szCs w:val="28"/>
          <w:highlight w:val="none"/>
          <w:lang w:val="zh-CN" w:bidi="zh-CN"/>
        </w:rPr>
      </w:pPr>
    </w:p>
    <w:p w14:paraId="66DB87ED">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发包人(公章)：</w:t>
      </w:r>
      <w:r>
        <w:rPr>
          <w:rFonts w:hint="eastAsia" w:ascii="仿宋" w:hAnsi="仿宋" w:eastAsia="仿宋"/>
          <w:bCs/>
          <w:color w:val="auto"/>
          <w:kern w:val="0"/>
          <w:sz w:val="28"/>
          <w:szCs w:val="28"/>
          <w:highlight w:val="none"/>
          <w:lang w:bidi="zh-CN"/>
        </w:rPr>
        <w:t xml:space="preserve">成都市技师学院    </w:t>
      </w:r>
      <w:r>
        <w:rPr>
          <w:rFonts w:hint="eastAsia" w:ascii="仿宋" w:hAnsi="仿宋" w:eastAsia="仿宋"/>
          <w:bCs/>
          <w:color w:val="auto"/>
          <w:kern w:val="0"/>
          <w:sz w:val="28"/>
          <w:szCs w:val="28"/>
          <w:highlight w:val="none"/>
          <w:lang w:val="zh-CN" w:bidi="zh-CN"/>
        </w:rPr>
        <w:t xml:space="preserve">承包人(公章) </w:t>
      </w:r>
    </w:p>
    <w:p w14:paraId="51E3AD89">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法定代表人：(签字)</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法定代表人：(签字)</w:t>
      </w:r>
    </w:p>
    <w:p w14:paraId="475102DA">
      <w:pPr>
        <w:wordWrap w:val="0"/>
        <w:autoSpaceDE w:val="0"/>
        <w:autoSpaceDN w:val="0"/>
        <w:ind w:firstLine="560" w:firstLineChars="200"/>
        <w:rPr>
          <w:rFonts w:ascii="仿宋" w:hAnsi="仿宋" w:eastAsia="仿宋"/>
          <w:bCs/>
          <w:color w:val="auto"/>
          <w:kern w:val="0"/>
          <w:sz w:val="28"/>
          <w:szCs w:val="28"/>
          <w:highlight w:val="none"/>
          <w:lang w:val="zh-CN" w:bidi="zh-CN"/>
        </w:rPr>
      </w:pPr>
      <w:r>
        <w:rPr>
          <w:rFonts w:hint="eastAsia" w:ascii="仿宋" w:hAnsi="仿宋" w:eastAsia="仿宋"/>
          <w:bCs/>
          <w:color w:val="auto"/>
          <w:kern w:val="0"/>
          <w:sz w:val="28"/>
          <w:szCs w:val="28"/>
          <w:highlight w:val="none"/>
          <w:lang w:val="zh-CN" w:bidi="zh-CN"/>
        </w:rPr>
        <w:t>或委托代理人：(签字)</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或委托代理人：(签字)</w:t>
      </w:r>
    </w:p>
    <w:p w14:paraId="301DDD21">
      <w:pPr>
        <w:wordWrap w:val="0"/>
        <w:autoSpaceDE w:val="0"/>
        <w:autoSpaceDN w:val="0"/>
        <w:spacing w:line="360" w:lineRule="auto"/>
        <w:ind w:firstLine="560" w:firstLineChars="200"/>
        <w:rPr>
          <w:rFonts w:ascii="仿宋" w:hAnsi="仿宋" w:eastAsia="仿宋" w:cs="仿宋"/>
          <w:color w:val="auto"/>
          <w:sz w:val="24"/>
          <w:highlight w:val="none"/>
        </w:rPr>
      </w:pPr>
      <w:r>
        <w:rPr>
          <w:rFonts w:hint="eastAsia" w:ascii="仿宋" w:hAnsi="仿宋" w:eastAsia="仿宋"/>
          <w:bCs/>
          <w:color w:val="auto"/>
          <w:kern w:val="0"/>
          <w:sz w:val="28"/>
          <w:szCs w:val="28"/>
          <w:highlight w:val="none"/>
          <w:lang w:val="zh-CN" w:bidi="zh-CN"/>
        </w:rPr>
        <w:t>年</w:t>
      </w:r>
      <w:r>
        <w:rPr>
          <w:rFonts w:hint="eastAsia" w:ascii="仿宋" w:hAnsi="仿宋" w:eastAsia="仿宋"/>
          <w:bCs/>
          <w:color w:val="auto"/>
          <w:kern w:val="0"/>
          <w:sz w:val="28"/>
          <w:szCs w:val="28"/>
          <w:highlight w:val="none"/>
          <w:lang w:bidi="zh-CN"/>
        </w:rPr>
        <w:t xml:space="preserve"> </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月</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日</w:t>
      </w:r>
      <w:r>
        <w:rPr>
          <w:rFonts w:hint="eastAsia" w:ascii="仿宋" w:hAnsi="仿宋" w:eastAsia="仿宋"/>
          <w:bCs/>
          <w:color w:val="auto"/>
          <w:kern w:val="0"/>
          <w:sz w:val="28"/>
          <w:szCs w:val="28"/>
          <w:highlight w:val="none"/>
          <w:lang w:bidi="zh-CN"/>
        </w:rPr>
        <w:t xml:space="preserve">              </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年</w:t>
      </w:r>
      <w:r>
        <w:rPr>
          <w:rFonts w:hint="eastAsia" w:ascii="仿宋" w:hAnsi="仿宋" w:eastAsia="仿宋"/>
          <w:bCs/>
          <w:color w:val="auto"/>
          <w:kern w:val="0"/>
          <w:sz w:val="28"/>
          <w:szCs w:val="28"/>
          <w:highlight w:val="none"/>
          <w:lang w:bidi="zh-CN"/>
        </w:rPr>
        <w:t xml:space="preserve">    </w:t>
      </w:r>
      <w:r>
        <w:rPr>
          <w:rFonts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月</w:t>
      </w:r>
      <w:r>
        <w:rPr>
          <w:rFonts w:hint="eastAsia" w:ascii="仿宋" w:hAnsi="仿宋" w:eastAsia="仿宋"/>
          <w:bCs/>
          <w:color w:val="auto"/>
          <w:kern w:val="0"/>
          <w:sz w:val="28"/>
          <w:szCs w:val="28"/>
          <w:highlight w:val="none"/>
          <w:lang w:bidi="zh-CN"/>
        </w:rPr>
        <w:t xml:space="preserve">    </w:t>
      </w:r>
      <w:r>
        <w:rPr>
          <w:rFonts w:hint="eastAsia" w:ascii="仿宋" w:hAnsi="仿宋" w:eastAsia="仿宋"/>
          <w:bCs/>
          <w:color w:val="auto"/>
          <w:kern w:val="0"/>
          <w:sz w:val="28"/>
          <w:szCs w:val="28"/>
          <w:highlight w:val="none"/>
          <w:lang w:val="zh-CN" w:bidi="zh-CN"/>
        </w:rPr>
        <w:t>日</w:t>
      </w:r>
    </w:p>
    <w:sectPr>
      <w:headerReference r:id="rId14" w:type="default"/>
      <w:footerReference r:id="rId15" w:type="default"/>
      <w:type w:val="continuous"/>
      <w:pgSz w:w="11906" w:h="16838"/>
      <w:pgMar w:top="1134" w:right="1418" w:bottom="1134"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___WRD_EMBED_SUB_41">
    <w:altName w:val="宋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6342738"/>
    </w:sdtPr>
    <w:sdtContent>
      <w:p w14:paraId="2B3BC3C5">
        <w:pPr>
          <w:pStyle w:val="27"/>
          <w:jc w:val="center"/>
        </w:pPr>
        <w:r>
          <w:fldChar w:fldCharType="begin"/>
        </w:r>
        <w:r>
          <w:instrText xml:space="preserve"> PAGE   \* MERGEFORMAT </w:instrText>
        </w:r>
        <w:r>
          <w:fldChar w:fldCharType="separate"/>
        </w:r>
        <w:r>
          <w:rPr>
            <w:lang w:val="zh-CN"/>
          </w:rPr>
          <w:t>4</w:t>
        </w:r>
        <w:r>
          <w:fldChar w:fldCharType="end"/>
        </w:r>
      </w:p>
    </w:sdtContent>
  </w:sdt>
  <w:p w14:paraId="3407DF52">
    <w:pPr>
      <w:pStyle w:val="27"/>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AF6D">
    <w:pPr>
      <w:pStyle w:val="27"/>
      <w:framePr w:wrap="around" w:vAnchor="text" w:hAnchor="margin" w:xAlign="outside" w:y="1"/>
      <w:rPr>
        <w:rStyle w:val="45"/>
      </w:rPr>
    </w:pPr>
    <w:r>
      <w:rPr>
        <w:rStyle w:val="45"/>
      </w:rPr>
      <w:fldChar w:fldCharType="begin"/>
    </w:r>
    <w:r>
      <w:rPr>
        <w:rStyle w:val="45"/>
      </w:rPr>
      <w:instrText xml:space="preserve">PAGE  </w:instrText>
    </w:r>
    <w:r>
      <w:rPr>
        <w:rStyle w:val="45"/>
      </w:rPr>
      <w:fldChar w:fldCharType="separate"/>
    </w:r>
    <w:r>
      <w:rPr>
        <w:rStyle w:val="45"/>
      </w:rPr>
      <w:t>2</w:t>
    </w:r>
    <w:r>
      <w:rPr>
        <w:rStyle w:val="45"/>
      </w:rPr>
      <w:fldChar w:fldCharType="end"/>
    </w:r>
  </w:p>
  <w:p w14:paraId="52FCF401">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A35D">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278969"/>
    </w:sdtPr>
    <w:sdtContent>
      <w:p w14:paraId="147D205C">
        <w:pPr>
          <w:pStyle w:val="27"/>
          <w:jc w:val="center"/>
        </w:pPr>
        <w:r>
          <w:fldChar w:fldCharType="begin"/>
        </w:r>
        <w:r>
          <w:instrText xml:space="preserve">PAGE   \* MERGEFORMAT</w:instrText>
        </w:r>
        <w:r>
          <w:fldChar w:fldCharType="separate"/>
        </w:r>
        <w:r>
          <w:rPr>
            <w:lang w:val="zh-CN"/>
          </w:rPr>
          <w:t>21</w:t>
        </w:r>
        <w:r>
          <w:fldChar w:fldCharType="end"/>
        </w:r>
      </w:p>
    </w:sdtContent>
  </w:sdt>
  <w:p w14:paraId="279FF9D5">
    <w:pPr>
      <w:pStyle w:val="27"/>
      <w:jc w:val="center"/>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0E44E">
    <w:pPr>
      <w:pStyle w:val="27"/>
      <w:framePr w:wrap="around" w:vAnchor="text" w:hAnchor="margin" w:xAlign="outside" w:y="1"/>
      <w:rPr>
        <w:rStyle w:val="45"/>
      </w:rPr>
    </w:pPr>
    <w:r>
      <w:rPr>
        <w:rStyle w:val="45"/>
      </w:rPr>
      <w:fldChar w:fldCharType="begin"/>
    </w:r>
    <w:r>
      <w:rPr>
        <w:rStyle w:val="45"/>
      </w:rPr>
      <w:instrText xml:space="preserve">PAGE  </w:instrText>
    </w:r>
    <w:r>
      <w:rPr>
        <w:rStyle w:val="45"/>
      </w:rPr>
      <w:fldChar w:fldCharType="separate"/>
    </w:r>
    <w:r>
      <w:rPr>
        <w:rStyle w:val="45"/>
      </w:rPr>
      <w:t>154</w:t>
    </w:r>
    <w:r>
      <w:rPr>
        <w:rStyle w:val="45"/>
      </w:rPr>
      <w:fldChar w:fldCharType="end"/>
    </w:r>
  </w:p>
  <w:p w14:paraId="46C80082">
    <w:pPr>
      <w:pStyle w:val="2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FDBD">
    <w:pPr>
      <w:pStyle w:val="27"/>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70</w:t>
    </w:r>
    <w:r>
      <w:rPr>
        <w:rFonts w:ascii="宋体" w:hAnsi="宋体"/>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8701">
    <w:pPr>
      <w:pStyle w:val="27"/>
      <w:jc w:val="center"/>
    </w:pPr>
    <w:r>
      <w:fldChar w:fldCharType="begin"/>
    </w:r>
    <w:r>
      <w:instrText xml:space="preserve">PAGE   \* MERGEFORMAT</w:instrText>
    </w:r>
    <w:r>
      <w:fldChar w:fldCharType="separate"/>
    </w:r>
    <w:r>
      <w:rPr>
        <w:lang w:val="zh-CN"/>
      </w:rPr>
      <w:t>82</w:t>
    </w:r>
    <w:r>
      <w:fldChar w:fldCharType="end"/>
    </w:r>
  </w:p>
  <w:p w14:paraId="785145DD">
    <w:pPr>
      <w:pStyle w:val="2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6B38">
    <w:pPr>
      <w:pStyle w:val="28"/>
      <w:pBdr>
        <w:bottom w:val="none" w:color="auto" w:sz="0" w:space="0"/>
      </w:pBdr>
      <w:jc w:val="right"/>
    </w:pPr>
    <w:r>
      <w:drawing>
        <wp:inline distT="0" distB="0" distL="0" distR="0">
          <wp:extent cx="1943735" cy="27686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FEEA">
    <w:pPr>
      <w:pStyle w:val="28"/>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A743C">
    <w:pPr>
      <w:pStyle w:val="28"/>
      <w:pBdr>
        <w:bottom w:val="none" w:color="auto" w:sz="0" w:space="0"/>
      </w:pBdr>
      <w:jc w:val="right"/>
    </w:pPr>
    <w:r>
      <w:drawing>
        <wp:inline distT="0" distB="0" distL="0" distR="0">
          <wp:extent cx="1943735" cy="276860"/>
          <wp:effectExtent l="0" t="0" r="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8C3E">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FB790">
    <w:pPr>
      <w:pStyle w:val="28"/>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585F">
    <w:pPr>
      <w:pStyle w:val="28"/>
      <w:pBdr>
        <w:bottom w:val="none" w:color="auto" w:sz="0" w:space="0"/>
      </w:pBdr>
      <w:jc w:val="right"/>
    </w:pPr>
    <w:r>
      <w:drawing>
        <wp:inline distT="0" distB="0" distL="0" distR="0">
          <wp:extent cx="1943735" cy="276860"/>
          <wp:effectExtent l="0" t="0" r="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000" cy="2772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pStyle w:val="167"/>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F0B3CE3"/>
    <w:multiLevelType w:val="multilevel"/>
    <w:tmpl w:val="3F0B3CE3"/>
    <w:lvl w:ilvl="0" w:tentative="0">
      <w:start w:val="3"/>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5B4330A"/>
    <w:multiLevelType w:val="multilevel"/>
    <w:tmpl w:val="55B4330A"/>
    <w:lvl w:ilvl="0" w:tentative="0">
      <w:start w:val="1"/>
      <w:numFmt w:val="decimal"/>
      <w:suff w:val="space"/>
      <w:lvlText w:val="16.%1"/>
      <w:lvlJc w:val="left"/>
      <w:pPr>
        <w:ind w:left="888" w:hanging="420"/>
      </w:pPr>
      <w:rPr>
        <w:rFonts w:hint="default" w:cs="Times New Roman"/>
        <w:b w:val="0"/>
        <w:color w:val="auto"/>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abstractNum w:abstractNumId="4">
    <w:nsid w:val="56C33A13"/>
    <w:multiLevelType w:val="multilevel"/>
    <w:tmpl w:val="56C33A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C45749"/>
    <w:multiLevelType w:val="singleLevel"/>
    <w:tmpl w:val="71C45749"/>
    <w:lvl w:ilvl="0" w:tentative="0">
      <w:start w:val="9"/>
      <w:numFmt w:val="decimal"/>
      <w:suff w:val="space"/>
      <w:lvlText w:val="%1."/>
      <w:lvlJc w:val="left"/>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MmRhYWMwYjA3YWM5ZTIyZDZhZDAzODM5OTRhMjUifQ=="/>
    <w:docVar w:name="KGWebUrl" w:val="https://oa.cdgmxy.edu.cn/seeyon/officeservlet"/>
    <w:docVar w:name="KSO_WPS_MARK_KEY" w:val="c7b9f0d9-f6c4-45eb-92b1-77a44eb4b975"/>
  </w:docVars>
  <w:rsids>
    <w:rsidRoot w:val="002A2D21"/>
    <w:rsid w:val="000029C1"/>
    <w:rsid w:val="00012571"/>
    <w:rsid w:val="000171BD"/>
    <w:rsid w:val="00022488"/>
    <w:rsid w:val="00022515"/>
    <w:rsid w:val="00023908"/>
    <w:rsid w:val="00026722"/>
    <w:rsid w:val="00027576"/>
    <w:rsid w:val="0003697D"/>
    <w:rsid w:val="0003767F"/>
    <w:rsid w:val="00051F5F"/>
    <w:rsid w:val="000549B6"/>
    <w:rsid w:val="0005792B"/>
    <w:rsid w:val="00066D8C"/>
    <w:rsid w:val="00070280"/>
    <w:rsid w:val="000726F0"/>
    <w:rsid w:val="000739EC"/>
    <w:rsid w:val="00074444"/>
    <w:rsid w:val="00075586"/>
    <w:rsid w:val="00077521"/>
    <w:rsid w:val="00083AA2"/>
    <w:rsid w:val="00084777"/>
    <w:rsid w:val="00085A77"/>
    <w:rsid w:val="00094845"/>
    <w:rsid w:val="000958D3"/>
    <w:rsid w:val="000A0850"/>
    <w:rsid w:val="000C178B"/>
    <w:rsid w:val="000D132B"/>
    <w:rsid w:val="000D45D8"/>
    <w:rsid w:val="000E4AD3"/>
    <w:rsid w:val="000E4ED7"/>
    <w:rsid w:val="000E6395"/>
    <w:rsid w:val="000F1F20"/>
    <w:rsid w:val="000F4490"/>
    <w:rsid w:val="000F4F8C"/>
    <w:rsid w:val="0010478B"/>
    <w:rsid w:val="00113768"/>
    <w:rsid w:val="00113A07"/>
    <w:rsid w:val="00121C6F"/>
    <w:rsid w:val="00145B60"/>
    <w:rsid w:val="0015013B"/>
    <w:rsid w:val="00151CB4"/>
    <w:rsid w:val="0017086C"/>
    <w:rsid w:val="0017412B"/>
    <w:rsid w:val="0017740F"/>
    <w:rsid w:val="00186AE8"/>
    <w:rsid w:val="001904F1"/>
    <w:rsid w:val="00193D9E"/>
    <w:rsid w:val="00196129"/>
    <w:rsid w:val="001A561B"/>
    <w:rsid w:val="001A5930"/>
    <w:rsid w:val="001B4223"/>
    <w:rsid w:val="001B4623"/>
    <w:rsid w:val="001B4E96"/>
    <w:rsid w:val="001F017E"/>
    <w:rsid w:val="001F2E75"/>
    <w:rsid w:val="001F5744"/>
    <w:rsid w:val="001F630E"/>
    <w:rsid w:val="002029BC"/>
    <w:rsid w:val="0020549F"/>
    <w:rsid w:val="00210472"/>
    <w:rsid w:val="00211D88"/>
    <w:rsid w:val="002130B8"/>
    <w:rsid w:val="002278A0"/>
    <w:rsid w:val="00231039"/>
    <w:rsid w:val="00231A7B"/>
    <w:rsid w:val="00234CC6"/>
    <w:rsid w:val="00234EB0"/>
    <w:rsid w:val="002406D1"/>
    <w:rsid w:val="002523AB"/>
    <w:rsid w:val="002524DD"/>
    <w:rsid w:val="002539B4"/>
    <w:rsid w:val="002539D3"/>
    <w:rsid w:val="00254DCF"/>
    <w:rsid w:val="00265318"/>
    <w:rsid w:val="00266528"/>
    <w:rsid w:val="00267F67"/>
    <w:rsid w:val="00281804"/>
    <w:rsid w:val="00282118"/>
    <w:rsid w:val="0028349F"/>
    <w:rsid w:val="00284AF7"/>
    <w:rsid w:val="00295935"/>
    <w:rsid w:val="00295D08"/>
    <w:rsid w:val="00297056"/>
    <w:rsid w:val="002A1D5D"/>
    <w:rsid w:val="002A2D21"/>
    <w:rsid w:val="002A319C"/>
    <w:rsid w:val="002C063F"/>
    <w:rsid w:val="002C4776"/>
    <w:rsid w:val="002D4BBA"/>
    <w:rsid w:val="002D7807"/>
    <w:rsid w:val="002F27A0"/>
    <w:rsid w:val="002F3A8E"/>
    <w:rsid w:val="002F456C"/>
    <w:rsid w:val="0030031F"/>
    <w:rsid w:val="003017EB"/>
    <w:rsid w:val="003036BB"/>
    <w:rsid w:val="00304BC5"/>
    <w:rsid w:val="00306249"/>
    <w:rsid w:val="003214AC"/>
    <w:rsid w:val="0032442C"/>
    <w:rsid w:val="003251BD"/>
    <w:rsid w:val="00326ECE"/>
    <w:rsid w:val="00334AFD"/>
    <w:rsid w:val="00335B76"/>
    <w:rsid w:val="00340461"/>
    <w:rsid w:val="00341F06"/>
    <w:rsid w:val="003448DE"/>
    <w:rsid w:val="0034497C"/>
    <w:rsid w:val="003514E8"/>
    <w:rsid w:val="00352C6F"/>
    <w:rsid w:val="00354F4C"/>
    <w:rsid w:val="0035683B"/>
    <w:rsid w:val="003600BD"/>
    <w:rsid w:val="00362C77"/>
    <w:rsid w:val="003633AC"/>
    <w:rsid w:val="00371EC0"/>
    <w:rsid w:val="003772CE"/>
    <w:rsid w:val="003846D2"/>
    <w:rsid w:val="0039042A"/>
    <w:rsid w:val="003922A1"/>
    <w:rsid w:val="0039480D"/>
    <w:rsid w:val="003A0C99"/>
    <w:rsid w:val="003B01A0"/>
    <w:rsid w:val="003B53CB"/>
    <w:rsid w:val="003C6AC9"/>
    <w:rsid w:val="003D1655"/>
    <w:rsid w:val="003D5A31"/>
    <w:rsid w:val="003D6BE7"/>
    <w:rsid w:val="003F6A75"/>
    <w:rsid w:val="00403E2A"/>
    <w:rsid w:val="00403E87"/>
    <w:rsid w:val="00403F72"/>
    <w:rsid w:val="00406619"/>
    <w:rsid w:val="0040672A"/>
    <w:rsid w:val="004134A0"/>
    <w:rsid w:val="004137F3"/>
    <w:rsid w:val="00420425"/>
    <w:rsid w:val="00424C97"/>
    <w:rsid w:val="00426877"/>
    <w:rsid w:val="00430298"/>
    <w:rsid w:val="004314F9"/>
    <w:rsid w:val="00431D1E"/>
    <w:rsid w:val="00432D64"/>
    <w:rsid w:val="00435C96"/>
    <w:rsid w:val="004362EA"/>
    <w:rsid w:val="004400B1"/>
    <w:rsid w:val="00441E41"/>
    <w:rsid w:val="00444724"/>
    <w:rsid w:val="0044770A"/>
    <w:rsid w:val="00450BFF"/>
    <w:rsid w:val="00450F3E"/>
    <w:rsid w:val="00455356"/>
    <w:rsid w:val="004553FB"/>
    <w:rsid w:val="004570A3"/>
    <w:rsid w:val="00465281"/>
    <w:rsid w:val="00466FD0"/>
    <w:rsid w:val="00480268"/>
    <w:rsid w:val="00484271"/>
    <w:rsid w:val="00486B90"/>
    <w:rsid w:val="00494D6A"/>
    <w:rsid w:val="00494F87"/>
    <w:rsid w:val="004A4FA2"/>
    <w:rsid w:val="004B270E"/>
    <w:rsid w:val="004B7B91"/>
    <w:rsid w:val="004B7F3D"/>
    <w:rsid w:val="004C2FBE"/>
    <w:rsid w:val="004C7333"/>
    <w:rsid w:val="004D2452"/>
    <w:rsid w:val="004D6F58"/>
    <w:rsid w:val="004E2E80"/>
    <w:rsid w:val="004E35B9"/>
    <w:rsid w:val="004F08C8"/>
    <w:rsid w:val="004F0E3D"/>
    <w:rsid w:val="00511B5C"/>
    <w:rsid w:val="00516A0E"/>
    <w:rsid w:val="0051729F"/>
    <w:rsid w:val="00524030"/>
    <w:rsid w:val="00525762"/>
    <w:rsid w:val="005259FB"/>
    <w:rsid w:val="00533AA8"/>
    <w:rsid w:val="00541812"/>
    <w:rsid w:val="00543E7F"/>
    <w:rsid w:val="00545667"/>
    <w:rsid w:val="00547737"/>
    <w:rsid w:val="00551DA7"/>
    <w:rsid w:val="00554EED"/>
    <w:rsid w:val="00564D99"/>
    <w:rsid w:val="00565182"/>
    <w:rsid w:val="005711AE"/>
    <w:rsid w:val="00571FEE"/>
    <w:rsid w:val="005737D8"/>
    <w:rsid w:val="00573F7C"/>
    <w:rsid w:val="00574911"/>
    <w:rsid w:val="00580135"/>
    <w:rsid w:val="00583BBF"/>
    <w:rsid w:val="00586E89"/>
    <w:rsid w:val="0058733A"/>
    <w:rsid w:val="00594542"/>
    <w:rsid w:val="00595A0C"/>
    <w:rsid w:val="005967AC"/>
    <w:rsid w:val="005A0F92"/>
    <w:rsid w:val="005A1AE5"/>
    <w:rsid w:val="005A4E87"/>
    <w:rsid w:val="005A722A"/>
    <w:rsid w:val="005B2D5D"/>
    <w:rsid w:val="005B3057"/>
    <w:rsid w:val="005B76C1"/>
    <w:rsid w:val="005C152E"/>
    <w:rsid w:val="005D0662"/>
    <w:rsid w:val="005D0D30"/>
    <w:rsid w:val="005D2808"/>
    <w:rsid w:val="005D2D24"/>
    <w:rsid w:val="005D2EB3"/>
    <w:rsid w:val="005D3B30"/>
    <w:rsid w:val="005D6D15"/>
    <w:rsid w:val="005D78D6"/>
    <w:rsid w:val="005E22D0"/>
    <w:rsid w:val="005F56F6"/>
    <w:rsid w:val="005F7324"/>
    <w:rsid w:val="005F7961"/>
    <w:rsid w:val="00602739"/>
    <w:rsid w:val="00606725"/>
    <w:rsid w:val="006075A3"/>
    <w:rsid w:val="00612DB8"/>
    <w:rsid w:val="00612DF5"/>
    <w:rsid w:val="00614E25"/>
    <w:rsid w:val="0061748A"/>
    <w:rsid w:val="00617EB5"/>
    <w:rsid w:val="00634393"/>
    <w:rsid w:val="00636E19"/>
    <w:rsid w:val="00641498"/>
    <w:rsid w:val="00643E04"/>
    <w:rsid w:val="00643F20"/>
    <w:rsid w:val="00652806"/>
    <w:rsid w:val="00661386"/>
    <w:rsid w:val="00663ECD"/>
    <w:rsid w:val="00664A21"/>
    <w:rsid w:val="0066553E"/>
    <w:rsid w:val="00665D73"/>
    <w:rsid w:val="00670EFC"/>
    <w:rsid w:val="00673F53"/>
    <w:rsid w:val="00682630"/>
    <w:rsid w:val="006840D7"/>
    <w:rsid w:val="00690822"/>
    <w:rsid w:val="00690ED0"/>
    <w:rsid w:val="006965F3"/>
    <w:rsid w:val="006A3C60"/>
    <w:rsid w:val="006B3971"/>
    <w:rsid w:val="006B7787"/>
    <w:rsid w:val="006B7A3C"/>
    <w:rsid w:val="006C1A0A"/>
    <w:rsid w:val="006C4F43"/>
    <w:rsid w:val="006C6BDE"/>
    <w:rsid w:val="006D413C"/>
    <w:rsid w:val="006E2C12"/>
    <w:rsid w:val="006F2D80"/>
    <w:rsid w:val="006F3D28"/>
    <w:rsid w:val="00702CE5"/>
    <w:rsid w:val="00705DDA"/>
    <w:rsid w:val="007077B2"/>
    <w:rsid w:val="007077E6"/>
    <w:rsid w:val="00712931"/>
    <w:rsid w:val="007166C8"/>
    <w:rsid w:val="007217F2"/>
    <w:rsid w:val="00730B86"/>
    <w:rsid w:val="00732397"/>
    <w:rsid w:val="00735217"/>
    <w:rsid w:val="0074292A"/>
    <w:rsid w:val="00745173"/>
    <w:rsid w:val="00753080"/>
    <w:rsid w:val="0075535C"/>
    <w:rsid w:val="00756F92"/>
    <w:rsid w:val="007607D9"/>
    <w:rsid w:val="00760A01"/>
    <w:rsid w:val="00764879"/>
    <w:rsid w:val="00765A45"/>
    <w:rsid w:val="007700F1"/>
    <w:rsid w:val="007767D8"/>
    <w:rsid w:val="00777999"/>
    <w:rsid w:val="007849AB"/>
    <w:rsid w:val="007859A5"/>
    <w:rsid w:val="00793075"/>
    <w:rsid w:val="0079421D"/>
    <w:rsid w:val="007B74CD"/>
    <w:rsid w:val="007B7B60"/>
    <w:rsid w:val="007C3F60"/>
    <w:rsid w:val="007C5141"/>
    <w:rsid w:val="007C5E4D"/>
    <w:rsid w:val="007C7765"/>
    <w:rsid w:val="007E1631"/>
    <w:rsid w:val="007E451E"/>
    <w:rsid w:val="007E7374"/>
    <w:rsid w:val="007F299B"/>
    <w:rsid w:val="007F644F"/>
    <w:rsid w:val="00816A47"/>
    <w:rsid w:val="008206EA"/>
    <w:rsid w:val="00822C24"/>
    <w:rsid w:val="00830DDF"/>
    <w:rsid w:val="00844D16"/>
    <w:rsid w:val="008459B8"/>
    <w:rsid w:val="00847B9B"/>
    <w:rsid w:val="00850130"/>
    <w:rsid w:val="008536F8"/>
    <w:rsid w:val="00853DD4"/>
    <w:rsid w:val="0085674F"/>
    <w:rsid w:val="00856C16"/>
    <w:rsid w:val="0086342D"/>
    <w:rsid w:val="008638DC"/>
    <w:rsid w:val="00863F0F"/>
    <w:rsid w:val="008669DC"/>
    <w:rsid w:val="00871092"/>
    <w:rsid w:val="00874597"/>
    <w:rsid w:val="00875D4A"/>
    <w:rsid w:val="0087606B"/>
    <w:rsid w:val="00876F24"/>
    <w:rsid w:val="0087760D"/>
    <w:rsid w:val="00877B46"/>
    <w:rsid w:val="00885B29"/>
    <w:rsid w:val="0089154D"/>
    <w:rsid w:val="0089269B"/>
    <w:rsid w:val="00892E15"/>
    <w:rsid w:val="00895F44"/>
    <w:rsid w:val="008962FB"/>
    <w:rsid w:val="00897375"/>
    <w:rsid w:val="008A2D5E"/>
    <w:rsid w:val="008A3CF6"/>
    <w:rsid w:val="008A671D"/>
    <w:rsid w:val="008A71E2"/>
    <w:rsid w:val="008B016E"/>
    <w:rsid w:val="008B1A1E"/>
    <w:rsid w:val="008C0EF6"/>
    <w:rsid w:val="008C3925"/>
    <w:rsid w:val="008D1C49"/>
    <w:rsid w:val="008D6BAC"/>
    <w:rsid w:val="008D7792"/>
    <w:rsid w:val="008E181C"/>
    <w:rsid w:val="008F1EE5"/>
    <w:rsid w:val="009041AF"/>
    <w:rsid w:val="009070B3"/>
    <w:rsid w:val="00917665"/>
    <w:rsid w:val="00921CD5"/>
    <w:rsid w:val="0092735A"/>
    <w:rsid w:val="00933FB8"/>
    <w:rsid w:val="00936019"/>
    <w:rsid w:val="009428B9"/>
    <w:rsid w:val="0094729D"/>
    <w:rsid w:val="009528C4"/>
    <w:rsid w:val="00952A53"/>
    <w:rsid w:val="00964500"/>
    <w:rsid w:val="00966C28"/>
    <w:rsid w:val="00970690"/>
    <w:rsid w:val="00972E76"/>
    <w:rsid w:val="00975BEF"/>
    <w:rsid w:val="009767E5"/>
    <w:rsid w:val="009847D0"/>
    <w:rsid w:val="00996B7B"/>
    <w:rsid w:val="009B00BC"/>
    <w:rsid w:val="009C056B"/>
    <w:rsid w:val="009C2F86"/>
    <w:rsid w:val="009C7CB1"/>
    <w:rsid w:val="009D038F"/>
    <w:rsid w:val="009D0630"/>
    <w:rsid w:val="009D20CC"/>
    <w:rsid w:val="009D22AF"/>
    <w:rsid w:val="009D3C94"/>
    <w:rsid w:val="009E3968"/>
    <w:rsid w:val="009E3E93"/>
    <w:rsid w:val="009E5487"/>
    <w:rsid w:val="009F1972"/>
    <w:rsid w:val="00A021A4"/>
    <w:rsid w:val="00A03158"/>
    <w:rsid w:val="00A05FE6"/>
    <w:rsid w:val="00A1133D"/>
    <w:rsid w:val="00A12663"/>
    <w:rsid w:val="00A13B14"/>
    <w:rsid w:val="00A22E4F"/>
    <w:rsid w:val="00A23E88"/>
    <w:rsid w:val="00A254D7"/>
    <w:rsid w:val="00A43F13"/>
    <w:rsid w:val="00A45E09"/>
    <w:rsid w:val="00A47943"/>
    <w:rsid w:val="00A50960"/>
    <w:rsid w:val="00A53000"/>
    <w:rsid w:val="00A53CCE"/>
    <w:rsid w:val="00A617FE"/>
    <w:rsid w:val="00A640B8"/>
    <w:rsid w:val="00A82B77"/>
    <w:rsid w:val="00A82DCD"/>
    <w:rsid w:val="00A935E8"/>
    <w:rsid w:val="00A95A01"/>
    <w:rsid w:val="00A96BB9"/>
    <w:rsid w:val="00AA2F94"/>
    <w:rsid w:val="00AB2BB9"/>
    <w:rsid w:val="00AB2FB0"/>
    <w:rsid w:val="00AB7231"/>
    <w:rsid w:val="00AC10A0"/>
    <w:rsid w:val="00AC28B0"/>
    <w:rsid w:val="00AC62BA"/>
    <w:rsid w:val="00AD2882"/>
    <w:rsid w:val="00AD7C38"/>
    <w:rsid w:val="00AE69BD"/>
    <w:rsid w:val="00AF113E"/>
    <w:rsid w:val="00AF659B"/>
    <w:rsid w:val="00AF7654"/>
    <w:rsid w:val="00B03FF9"/>
    <w:rsid w:val="00B17EBC"/>
    <w:rsid w:val="00B2113A"/>
    <w:rsid w:val="00B21ADE"/>
    <w:rsid w:val="00B22491"/>
    <w:rsid w:val="00B23169"/>
    <w:rsid w:val="00B24EFF"/>
    <w:rsid w:val="00B25859"/>
    <w:rsid w:val="00B3071F"/>
    <w:rsid w:val="00B34067"/>
    <w:rsid w:val="00B43524"/>
    <w:rsid w:val="00B444D4"/>
    <w:rsid w:val="00B44780"/>
    <w:rsid w:val="00B45FC5"/>
    <w:rsid w:val="00B54D36"/>
    <w:rsid w:val="00B615DC"/>
    <w:rsid w:val="00B62948"/>
    <w:rsid w:val="00B6368A"/>
    <w:rsid w:val="00B6415C"/>
    <w:rsid w:val="00B72627"/>
    <w:rsid w:val="00B72B22"/>
    <w:rsid w:val="00B8084B"/>
    <w:rsid w:val="00B836F2"/>
    <w:rsid w:val="00B851BF"/>
    <w:rsid w:val="00B87D41"/>
    <w:rsid w:val="00B93E48"/>
    <w:rsid w:val="00B96520"/>
    <w:rsid w:val="00BA36FD"/>
    <w:rsid w:val="00BA7905"/>
    <w:rsid w:val="00BB0560"/>
    <w:rsid w:val="00BB160D"/>
    <w:rsid w:val="00BB7701"/>
    <w:rsid w:val="00BC16F2"/>
    <w:rsid w:val="00BC4F3B"/>
    <w:rsid w:val="00BC679E"/>
    <w:rsid w:val="00BC73E5"/>
    <w:rsid w:val="00BD0CB3"/>
    <w:rsid w:val="00BD4173"/>
    <w:rsid w:val="00BD5DF1"/>
    <w:rsid w:val="00BE5201"/>
    <w:rsid w:val="00BE60EA"/>
    <w:rsid w:val="00BE61A8"/>
    <w:rsid w:val="00C064EF"/>
    <w:rsid w:val="00C06F45"/>
    <w:rsid w:val="00C12128"/>
    <w:rsid w:val="00C135E4"/>
    <w:rsid w:val="00C1618F"/>
    <w:rsid w:val="00C20320"/>
    <w:rsid w:val="00C300C5"/>
    <w:rsid w:val="00C3283C"/>
    <w:rsid w:val="00C34C36"/>
    <w:rsid w:val="00C434A7"/>
    <w:rsid w:val="00C502A1"/>
    <w:rsid w:val="00C539B0"/>
    <w:rsid w:val="00C54867"/>
    <w:rsid w:val="00C575ED"/>
    <w:rsid w:val="00C70AC3"/>
    <w:rsid w:val="00C73957"/>
    <w:rsid w:val="00C73E65"/>
    <w:rsid w:val="00C8280F"/>
    <w:rsid w:val="00C8348B"/>
    <w:rsid w:val="00C84BC7"/>
    <w:rsid w:val="00C8789F"/>
    <w:rsid w:val="00C87D11"/>
    <w:rsid w:val="00C91BC6"/>
    <w:rsid w:val="00C95FD6"/>
    <w:rsid w:val="00CA2164"/>
    <w:rsid w:val="00CA6F66"/>
    <w:rsid w:val="00CB07EC"/>
    <w:rsid w:val="00CB0EBD"/>
    <w:rsid w:val="00CB0EF1"/>
    <w:rsid w:val="00CC515E"/>
    <w:rsid w:val="00CC5371"/>
    <w:rsid w:val="00CD374A"/>
    <w:rsid w:val="00CD723E"/>
    <w:rsid w:val="00CF418C"/>
    <w:rsid w:val="00CF5FE0"/>
    <w:rsid w:val="00D00E72"/>
    <w:rsid w:val="00D100AA"/>
    <w:rsid w:val="00D102C7"/>
    <w:rsid w:val="00D13FE8"/>
    <w:rsid w:val="00D20662"/>
    <w:rsid w:val="00D233B2"/>
    <w:rsid w:val="00D2730A"/>
    <w:rsid w:val="00D32988"/>
    <w:rsid w:val="00D33696"/>
    <w:rsid w:val="00D36F49"/>
    <w:rsid w:val="00D51CF0"/>
    <w:rsid w:val="00D52CE7"/>
    <w:rsid w:val="00D54A0A"/>
    <w:rsid w:val="00D55841"/>
    <w:rsid w:val="00D57606"/>
    <w:rsid w:val="00D57C94"/>
    <w:rsid w:val="00D61520"/>
    <w:rsid w:val="00D6259F"/>
    <w:rsid w:val="00D813AA"/>
    <w:rsid w:val="00D83270"/>
    <w:rsid w:val="00D85F56"/>
    <w:rsid w:val="00D86BDF"/>
    <w:rsid w:val="00D909FC"/>
    <w:rsid w:val="00DA2203"/>
    <w:rsid w:val="00DB5FAF"/>
    <w:rsid w:val="00DC47B7"/>
    <w:rsid w:val="00DC5C6C"/>
    <w:rsid w:val="00DD0EE0"/>
    <w:rsid w:val="00DD571C"/>
    <w:rsid w:val="00DD7CCA"/>
    <w:rsid w:val="00DD7E4E"/>
    <w:rsid w:val="00E00FB8"/>
    <w:rsid w:val="00E06555"/>
    <w:rsid w:val="00E10994"/>
    <w:rsid w:val="00E1298C"/>
    <w:rsid w:val="00E27E05"/>
    <w:rsid w:val="00E27FE7"/>
    <w:rsid w:val="00E30971"/>
    <w:rsid w:val="00E30C08"/>
    <w:rsid w:val="00E30DE3"/>
    <w:rsid w:val="00E311D8"/>
    <w:rsid w:val="00E34588"/>
    <w:rsid w:val="00E435AE"/>
    <w:rsid w:val="00E4367D"/>
    <w:rsid w:val="00E5352D"/>
    <w:rsid w:val="00E56872"/>
    <w:rsid w:val="00E6018E"/>
    <w:rsid w:val="00E7135F"/>
    <w:rsid w:val="00E72723"/>
    <w:rsid w:val="00E72825"/>
    <w:rsid w:val="00E81642"/>
    <w:rsid w:val="00E92277"/>
    <w:rsid w:val="00E93E34"/>
    <w:rsid w:val="00E94119"/>
    <w:rsid w:val="00EA13D5"/>
    <w:rsid w:val="00EB129B"/>
    <w:rsid w:val="00EB47D1"/>
    <w:rsid w:val="00EB6C11"/>
    <w:rsid w:val="00EB7721"/>
    <w:rsid w:val="00EC244E"/>
    <w:rsid w:val="00EC51CE"/>
    <w:rsid w:val="00ED1683"/>
    <w:rsid w:val="00ED191E"/>
    <w:rsid w:val="00ED773F"/>
    <w:rsid w:val="00EF0A89"/>
    <w:rsid w:val="00EF60DB"/>
    <w:rsid w:val="00EF6E05"/>
    <w:rsid w:val="00F00AD5"/>
    <w:rsid w:val="00F019D8"/>
    <w:rsid w:val="00F02D68"/>
    <w:rsid w:val="00F15B6B"/>
    <w:rsid w:val="00F24641"/>
    <w:rsid w:val="00F32832"/>
    <w:rsid w:val="00F3662C"/>
    <w:rsid w:val="00F36AB2"/>
    <w:rsid w:val="00F37D2C"/>
    <w:rsid w:val="00F5522C"/>
    <w:rsid w:val="00F60866"/>
    <w:rsid w:val="00F62F38"/>
    <w:rsid w:val="00F71A5A"/>
    <w:rsid w:val="00F721C1"/>
    <w:rsid w:val="00F73B13"/>
    <w:rsid w:val="00F75BB2"/>
    <w:rsid w:val="00F812B3"/>
    <w:rsid w:val="00F82DB7"/>
    <w:rsid w:val="00F82F28"/>
    <w:rsid w:val="00F85227"/>
    <w:rsid w:val="00F9109E"/>
    <w:rsid w:val="00F9307E"/>
    <w:rsid w:val="00F95216"/>
    <w:rsid w:val="00F96F2C"/>
    <w:rsid w:val="00FA3061"/>
    <w:rsid w:val="00FA420F"/>
    <w:rsid w:val="00FA723E"/>
    <w:rsid w:val="00FB39AA"/>
    <w:rsid w:val="00FB6207"/>
    <w:rsid w:val="00FB7683"/>
    <w:rsid w:val="00FC4A8D"/>
    <w:rsid w:val="00FC5EB2"/>
    <w:rsid w:val="00FD1BD4"/>
    <w:rsid w:val="00FD4174"/>
    <w:rsid w:val="00FE3C69"/>
    <w:rsid w:val="00FE5315"/>
    <w:rsid w:val="00FE5D31"/>
    <w:rsid w:val="00FE6E0A"/>
    <w:rsid w:val="03123D37"/>
    <w:rsid w:val="083D37FC"/>
    <w:rsid w:val="0B5F59B4"/>
    <w:rsid w:val="0E327011"/>
    <w:rsid w:val="0F373A70"/>
    <w:rsid w:val="10FF3073"/>
    <w:rsid w:val="14C605AC"/>
    <w:rsid w:val="19AE5E47"/>
    <w:rsid w:val="1A7D17AA"/>
    <w:rsid w:val="1B786968"/>
    <w:rsid w:val="21AA6B52"/>
    <w:rsid w:val="21BC3E70"/>
    <w:rsid w:val="21EA4BE3"/>
    <w:rsid w:val="26D10AD2"/>
    <w:rsid w:val="33227AB4"/>
    <w:rsid w:val="35957E62"/>
    <w:rsid w:val="447D214A"/>
    <w:rsid w:val="48A74A37"/>
    <w:rsid w:val="49736BF5"/>
    <w:rsid w:val="4CCE628D"/>
    <w:rsid w:val="532E28D6"/>
    <w:rsid w:val="553D30D1"/>
    <w:rsid w:val="5BB4032D"/>
    <w:rsid w:val="60A46004"/>
    <w:rsid w:val="65463EC1"/>
    <w:rsid w:val="65DE297D"/>
    <w:rsid w:val="6B4016D7"/>
    <w:rsid w:val="6E0D49D1"/>
    <w:rsid w:val="785F06B5"/>
    <w:rsid w:val="7C1F6315"/>
    <w:rsid w:val="7EBD5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qFormat="1"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4"/>
    <w:qFormat/>
    <w:uiPriority w:val="0"/>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95"/>
    <w:qFormat/>
    <w:uiPriority w:val="0"/>
    <w:pPr>
      <w:keepNext/>
      <w:keepLines/>
      <w:spacing w:before="280" w:after="290" w:line="372" w:lineRule="auto"/>
      <w:outlineLvl w:val="4"/>
    </w:pPr>
    <w:rPr>
      <w:b/>
      <w:sz w:val="28"/>
      <w:szCs w:val="20"/>
    </w:rPr>
  </w:style>
  <w:style w:type="paragraph" w:styleId="8">
    <w:name w:val="heading 6"/>
    <w:basedOn w:val="1"/>
    <w:next w:val="1"/>
    <w:link w:val="96"/>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97"/>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98"/>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99"/>
    <w:qFormat/>
    <w:uiPriority w:val="0"/>
    <w:pPr>
      <w:keepNext/>
      <w:keepLines/>
      <w:spacing w:before="240" w:after="64" w:line="317" w:lineRule="auto"/>
      <w:outlineLvl w:val="8"/>
    </w:pPr>
    <w:rPr>
      <w:rFonts w:ascii="Cambria" w:hAnsi="Cambria"/>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toc 7"/>
    <w:basedOn w:val="1"/>
    <w:next w:val="1"/>
    <w:qFormat/>
    <w:uiPriority w:val="39"/>
    <w:pPr>
      <w:ind w:left="2520" w:leftChars="1200"/>
    </w:pPr>
    <w:rPr>
      <w:rFonts w:ascii="Calibri" w:hAnsi="Calibri"/>
      <w:szCs w:val="22"/>
    </w:rPr>
  </w:style>
  <w:style w:type="paragraph" w:styleId="13">
    <w:name w:val="Normal Indent"/>
    <w:basedOn w:val="1"/>
    <w:link w:val="58"/>
    <w:qFormat/>
    <w:uiPriority w:val="0"/>
    <w:pPr>
      <w:ind w:firstLine="420" w:firstLineChars="200"/>
    </w:pPr>
  </w:style>
  <w:style w:type="paragraph" w:styleId="14">
    <w:name w:val="caption"/>
    <w:basedOn w:val="1"/>
    <w:next w:val="1"/>
    <w:qFormat/>
    <w:uiPriority w:val="0"/>
    <w:pPr>
      <w:ind w:firstLine="6290" w:firstLineChars="2282"/>
    </w:pPr>
    <w:rPr>
      <w:b/>
      <w:color w:val="000080"/>
      <w:sz w:val="28"/>
      <w:szCs w:val="20"/>
    </w:rPr>
  </w:style>
  <w:style w:type="paragraph" w:styleId="15">
    <w:name w:val="Document Map"/>
    <w:basedOn w:val="1"/>
    <w:link w:val="84"/>
    <w:qFormat/>
    <w:uiPriority w:val="0"/>
    <w:pPr>
      <w:shd w:val="clear" w:color="auto" w:fill="000080"/>
    </w:pPr>
  </w:style>
  <w:style w:type="paragraph" w:styleId="16">
    <w:name w:val="annotation text"/>
    <w:basedOn w:val="1"/>
    <w:link w:val="70"/>
    <w:qFormat/>
    <w:uiPriority w:val="0"/>
    <w:pPr>
      <w:jc w:val="left"/>
    </w:pPr>
    <w:rPr>
      <w:rFonts w:asciiTheme="minorHAnsi" w:hAnsiTheme="minorHAnsi" w:eastAsiaTheme="minorEastAsia" w:cstheme="minorBidi"/>
      <w:sz w:val="18"/>
      <w:szCs w:val="22"/>
    </w:rPr>
  </w:style>
  <w:style w:type="paragraph" w:styleId="17">
    <w:name w:val="Body Text"/>
    <w:basedOn w:val="1"/>
    <w:next w:val="1"/>
    <w:link w:val="79"/>
    <w:qFormat/>
    <w:uiPriority w:val="0"/>
    <w:pPr>
      <w:spacing w:after="120"/>
    </w:pPr>
  </w:style>
  <w:style w:type="paragraph" w:styleId="18">
    <w:name w:val="Body Text Indent"/>
    <w:basedOn w:val="1"/>
    <w:link w:val="59"/>
    <w:qFormat/>
    <w:uiPriority w:val="0"/>
    <w:pPr>
      <w:ind w:firstLine="630"/>
    </w:pPr>
    <w:rPr>
      <w:sz w:val="32"/>
      <w:szCs w:val="20"/>
    </w:rPr>
  </w:style>
  <w:style w:type="paragraph" w:styleId="19">
    <w:name w:val="index 4"/>
    <w:basedOn w:val="1"/>
    <w:next w:val="1"/>
    <w:qFormat/>
    <w:uiPriority w:val="0"/>
    <w:pPr>
      <w:ind w:left="600" w:leftChars="600"/>
    </w:pPr>
  </w:style>
  <w:style w:type="paragraph" w:styleId="20">
    <w:name w:val="toc 5"/>
    <w:basedOn w:val="1"/>
    <w:next w:val="1"/>
    <w:qFormat/>
    <w:uiPriority w:val="39"/>
    <w:pPr>
      <w:tabs>
        <w:tab w:val="right" w:leader="dot" w:pos="8296"/>
      </w:tabs>
      <w:ind w:left="1050" w:leftChars="500"/>
    </w:pPr>
    <w:rPr>
      <w:rFonts w:ascii="Calibri" w:hAnsi="Calibri"/>
      <w:szCs w:val="22"/>
    </w:rPr>
  </w:style>
  <w:style w:type="paragraph" w:styleId="21">
    <w:name w:val="toc 3"/>
    <w:basedOn w:val="1"/>
    <w:next w:val="1"/>
    <w:unhideWhenUsed/>
    <w:qFormat/>
    <w:uiPriority w:val="39"/>
    <w:pPr>
      <w:ind w:left="840" w:leftChars="400"/>
    </w:pPr>
  </w:style>
  <w:style w:type="paragraph" w:styleId="22">
    <w:name w:val="Plain Text"/>
    <w:basedOn w:val="1"/>
    <w:link w:val="72"/>
    <w:qFormat/>
    <w:uiPriority w:val="0"/>
    <w:pPr>
      <w:autoSpaceDE w:val="0"/>
      <w:autoSpaceDN w:val="0"/>
      <w:adjustRightInd w:val="0"/>
    </w:pPr>
    <w:rPr>
      <w:rFonts w:ascii="宋体" w:hAnsi="Tms Rmn" w:cstheme="minorBidi"/>
      <w:szCs w:val="22"/>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111"/>
    <w:qFormat/>
    <w:uiPriority w:val="0"/>
    <w:rPr>
      <w:szCs w:val="20"/>
    </w:rPr>
  </w:style>
  <w:style w:type="paragraph" w:styleId="25">
    <w:name w:val="Body Text Indent 2"/>
    <w:basedOn w:val="1"/>
    <w:link w:val="62"/>
    <w:qFormat/>
    <w:uiPriority w:val="0"/>
    <w:pPr>
      <w:spacing w:after="120" w:line="480" w:lineRule="auto"/>
      <w:ind w:left="420" w:leftChars="200"/>
    </w:pPr>
  </w:style>
  <w:style w:type="paragraph" w:styleId="26">
    <w:name w:val="Balloon Text"/>
    <w:basedOn w:val="1"/>
    <w:link w:val="68"/>
    <w:qFormat/>
    <w:uiPriority w:val="0"/>
    <w:rPr>
      <w:sz w:val="18"/>
      <w:szCs w:val="18"/>
    </w:rPr>
  </w:style>
  <w:style w:type="paragraph" w:styleId="27">
    <w:name w:val="footer"/>
    <w:basedOn w:val="1"/>
    <w:link w:val="51"/>
    <w:unhideWhenUsed/>
    <w:qFormat/>
    <w:uiPriority w:val="99"/>
    <w:pPr>
      <w:tabs>
        <w:tab w:val="center" w:pos="4153"/>
        <w:tab w:val="right" w:pos="8306"/>
      </w:tabs>
      <w:snapToGrid w:val="0"/>
      <w:jc w:val="left"/>
    </w:pPr>
    <w:rPr>
      <w:sz w:val="18"/>
      <w:szCs w:val="18"/>
    </w:rPr>
  </w:style>
  <w:style w:type="paragraph" w:styleId="28">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tabs>
        <w:tab w:val="right" w:leader="dot" w:pos="9345"/>
      </w:tabs>
      <w:spacing w:line="480" w:lineRule="auto"/>
      <w:ind w:right="-50" w:rightChars="-50"/>
      <w:jc w:val="left"/>
    </w:pPr>
    <w:rPr>
      <w:bCs/>
      <w:caps/>
      <w:sz w:val="24"/>
      <w:szCs w:val="20"/>
    </w:rPr>
  </w:style>
  <w:style w:type="paragraph" w:styleId="30">
    <w:name w:val="toc 4"/>
    <w:basedOn w:val="1"/>
    <w:next w:val="1"/>
    <w:qFormat/>
    <w:uiPriority w:val="39"/>
    <w:pPr>
      <w:tabs>
        <w:tab w:val="left" w:pos="1890"/>
        <w:tab w:val="right" w:leader="dot" w:pos="8296"/>
      </w:tabs>
      <w:ind w:left="630" w:leftChars="300"/>
    </w:pPr>
    <w:rPr>
      <w:rFonts w:ascii="Calibri" w:hAnsi="Calibri"/>
      <w:szCs w:val="22"/>
    </w:rPr>
  </w:style>
  <w:style w:type="paragraph" w:styleId="31">
    <w:name w:val="Subtitle"/>
    <w:basedOn w:val="1"/>
    <w:next w:val="1"/>
    <w:link w:val="145"/>
    <w:qFormat/>
    <w:uiPriority w:val="0"/>
    <w:pPr>
      <w:spacing w:before="240" w:after="60" w:line="312" w:lineRule="auto"/>
      <w:jc w:val="center"/>
      <w:outlineLvl w:val="1"/>
    </w:pPr>
    <w:rPr>
      <w:rFonts w:ascii="Cambria" w:hAnsi="Cambria" w:eastAsiaTheme="minorEastAsia" w:cstheme="minorBidi"/>
      <w:b/>
      <w:bCs/>
      <w:kern w:val="28"/>
      <w:sz w:val="32"/>
      <w:szCs w:val="32"/>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63"/>
    <w:qFormat/>
    <w:uiPriority w:val="0"/>
    <w:pPr>
      <w:spacing w:after="120"/>
      <w:ind w:left="420" w:leftChars="200"/>
    </w:pPr>
    <w:rPr>
      <w:sz w:val="16"/>
      <w:szCs w:val="16"/>
    </w:rPr>
  </w:style>
  <w:style w:type="paragraph" w:styleId="34">
    <w:name w:val="index 7"/>
    <w:basedOn w:val="1"/>
    <w:next w:val="1"/>
    <w:semiHidden/>
    <w:unhideWhenUsed/>
    <w:qFormat/>
    <w:uiPriority w:val="99"/>
    <w:pPr>
      <w:ind w:left="1200" w:leftChars="1200"/>
    </w:pPr>
    <w:rPr>
      <w:szCs w:val="20"/>
    </w:rPr>
  </w:style>
  <w:style w:type="paragraph" w:styleId="35">
    <w:name w:val="toc 2"/>
    <w:basedOn w:val="1"/>
    <w:next w:val="1"/>
    <w:unhideWhenUsed/>
    <w:qFormat/>
    <w:uiPriority w:val="39"/>
    <w:pPr>
      <w:spacing w:line="400" w:lineRule="exact"/>
      <w:ind w:left="210" w:leftChars="100" w:firstLine="480" w:firstLineChars="200"/>
      <w:jc w:val="left"/>
    </w:pPr>
    <w:rPr>
      <w:smallCaps/>
      <w:color w:val="000000"/>
      <w:sz w:val="24"/>
    </w:r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8">
    <w:name w:val="Title"/>
    <w:basedOn w:val="1"/>
    <w:next w:val="1"/>
    <w:link w:val="94"/>
    <w:qFormat/>
    <w:uiPriority w:val="0"/>
    <w:pPr>
      <w:spacing w:before="240" w:after="60"/>
      <w:jc w:val="center"/>
      <w:outlineLvl w:val="0"/>
    </w:pPr>
    <w:rPr>
      <w:rFonts w:ascii="Cambria" w:hAnsi="Cambria" w:eastAsiaTheme="minorEastAsia" w:cstheme="minorBidi"/>
      <w:b/>
      <w:bCs/>
      <w:sz w:val="32"/>
      <w:szCs w:val="32"/>
    </w:rPr>
  </w:style>
  <w:style w:type="paragraph" w:styleId="39">
    <w:name w:val="annotation subject"/>
    <w:basedOn w:val="16"/>
    <w:next w:val="16"/>
    <w:link w:val="90"/>
    <w:qFormat/>
    <w:uiPriority w:val="0"/>
    <w:rPr>
      <w:b/>
      <w:bCs/>
      <w:sz w:val="21"/>
      <w:szCs w:val="24"/>
    </w:rPr>
  </w:style>
  <w:style w:type="paragraph" w:styleId="40">
    <w:name w:val="Body Text First Indent"/>
    <w:basedOn w:val="17"/>
    <w:qFormat/>
    <w:uiPriority w:val="0"/>
    <w:pPr>
      <w:ind w:firstLine="420" w:firstLineChars="100"/>
    </w:pPr>
  </w:style>
  <w:style w:type="table" w:styleId="42">
    <w:name w:val="Table Grid"/>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0"/>
    <w:rPr>
      <w:color w:val="800080"/>
      <w:u w:val="single"/>
    </w:rPr>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customStyle="1" w:styleId="50">
    <w:name w:val="页眉 Char"/>
    <w:basedOn w:val="43"/>
    <w:link w:val="28"/>
    <w:qFormat/>
    <w:uiPriority w:val="0"/>
    <w:rPr>
      <w:sz w:val="18"/>
      <w:szCs w:val="18"/>
    </w:rPr>
  </w:style>
  <w:style w:type="character" w:customStyle="1" w:styleId="51">
    <w:name w:val="页脚 Char"/>
    <w:basedOn w:val="43"/>
    <w:link w:val="27"/>
    <w:qFormat/>
    <w:uiPriority w:val="99"/>
    <w:rPr>
      <w:sz w:val="18"/>
      <w:szCs w:val="18"/>
    </w:rPr>
  </w:style>
  <w:style w:type="character" w:customStyle="1" w:styleId="52">
    <w:name w:val="标题 1 Char"/>
    <w:basedOn w:val="43"/>
    <w:link w:val="3"/>
    <w:qFormat/>
    <w:uiPriority w:val="0"/>
    <w:rPr>
      <w:rFonts w:ascii="Times New Roman" w:hAnsi="Times New Roman" w:eastAsia="宋体" w:cs="Times New Roman"/>
      <w:b/>
      <w:bCs/>
      <w:kern w:val="44"/>
      <w:sz w:val="44"/>
      <w:szCs w:val="44"/>
    </w:rPr>
  </w:style>
  <w:style w:type="character" w:customStyle="1" w:styleId="53">
    <w:name w:val="标题 2 Char"/>
    <w:basedOn w:val="43"/>
    <w:link w:val="4"/>
    <w:qFormat/>
    <w:uiPriority w:val="0"/>
    <w:rPr>
      <w:rFonts w:ascii="Arial" w:hAnsi="Arial" w:eastAsia="黑体" w:cs="Times New Roman"/>
      <w:b/>
      <w:bCs/>
      <w:sz w:val="32"/>
      <w:szCs w:val="32"/>
    </w:rPr>
  </w:style>
  <w:style w:type="character" w:customStyle="1" w:styleId="54">
    <w:name w:val="标题 3 Char"/>
    <w:basedOn w:val="43"/>
    <w:link w:val="5"/>
    <w:qFormat/>
    <w:uiPriority w:val="0"/>
    <w:rPr>
      <w:rFonts w:ascii="Times New Roman" w:hAnsi="Times New Roman" w:eastAsia="宋体" w:cs="Times New Roman"/>
      <w:b/>
      <w:bCs/>
      <w:sz w:val="32"/>
      <w:szCs w:val="32"/>
    </w:rPr>
  </w:style>
  <w:style w:type="character" w:customStyle="1" w:styleId="55">
    <w:name w:val="标题 4 Char"/>
    <w:basedOn w:val="43"/>
    <w:link w:val="6"/>
    <w:qFormat/>
    <w:uiPriority w:val="0"/>
    <w:rPr>
      <w:rFonts w:ascii="Cambria" w:hAnsi="Cambria" w:eastAsia="宋体" w:cs="Times New Roman"/>
      <w:b/>
      <w:bCs/>
      <w:sz w:val="28"/>
      <w:szCs w:val="28"/>
    </w:rPr>
  </w:style>
  <w:style w:type="character" w:customStyle="1" w:styleId="56">
    <w:name w:val="页脚 Char1"/>
    <w:qFormat/>
    <w:uiPriority w:val="99"/>
    <w:rPr>
      <w:rFonts w:eastAsia="宋体"/>
      <w:kern w:val="2"/>
      <w:sz w:val="18"/>
      <w:lang w:val="en-US" w:eastAsia="zh-CN" w:bidi="ar-SA"/>
    </w:rPr>
  </w:style>
  <w:style w:type="character" w:customStyle="1" w:styleId="57">
    <w:name w:val="页眉 Char1"/>
    <w:qFormat/>
    <w:uiPriority w:val="99"/>
    <w:rPr>
      <w:rFonts w:eastAsia="宋体"/>
      <w:kern w:val="2"/>
      <w:sz w:val="18"/>
      <w:lang w:val="en-US" w:eastAsia="zh-CN" w:bidi="ar-SA"/>
    </w:rPr>
  </w:style>
  <w:style w:type="character" w:customStyle="1" w:styleId="58">
    <w:name w:val="正文缩进 Char"/>
    <w:link w:val="13"/>
    <w:qFormat/>
    <w:uiPriority w:val="0"/>
    <w:rPr>
      <w:rFonts w:ascii="Times New Roman" w:hAnsi="Times New Roman" w:eastAsia="宋体" w:cs="Times New Roman"/>
      <w:szCs w:val="24"/>
    </w:rPr>
  </w:style>
  <w:style w:type="character" w:customStyle="1" w:styleId="59">
    <w:name w:val="正文文本缩进 Char"/>
    <w:basedOn w:val="43"/>
    <w:link w:val="18"/>
    <w:qFormat/>
    <w:uiPriority w:val="0"/>
    <w:rPr>
      <w:rFonts w:ascii="Times New Roman" w:hAnsi="Times New Roman" w:eastAsia="宋体" w:cs="Times New Roman"/>
      <w:sz w:val="32"/>
      <w:szCs w:val="20"/>
    </w:rPr>
  </w:style>
  <w:style w:type="paragraph" w:customStyle="1" w:styleId="60">
    <w:name w:val="正文首行缩进两字符"/>
    <w:basedOn w:val="1"/>
    <w:qFormat/>
    <w:uiPriority w:val="0"/>
    <w:pPr>
      <w:spacing w:line="360" w:lineRule="auto"/>
      <w:ind w:firstLine="200" w:firstLineChars="200"/>
    </w:p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2">
    <w:name w:val="正文文本缩进 2 Char"/>
    <w:basedOn w:val="43"/>
    <w:link w:val="25"/>
    <w:qFormat/>
    <w:uiPriority w:val="0"/>
    <w:rPr>
      <w:rFonts w:ascii="Times New Roman" w:hAnsi="Times New Roman" w:eastAsia="宋体" w:cs="Times New Roman"/>
      <w:szCs w:val="24"/>
    </w:rPr>
  </w:style>
  <w:style w:type="character" w:customStyle="1" w:styleId="63">
    <w:name w:val="正文文本缩进 3 Char"/>
    <w:basedOn w:val="43"/>
    <w:link w:val="33"/>
    <w:qFormat/>
    <w:uiPriority w:val="0"/>
    <w:rPr>
      <w:rFonts w:ascii="Times New Roman" w:hAnsi="Times New Roman" w:eastAsia="宋体" w:cs="Times New Roman"/>
      <w:sz w:val="16"/>
      <w:szCs w:val="16"/>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表格"/>
    <w:basedOn w:val="1"/>
    <w:qFormat/>
    <w:uiPriority w:val="0"/>
    <w:pPr>
      <w:spacing w:line="400" w:lineRule="exact"/>
    </w:pPr>
    <w:rPr>
      <w:sz w:val="24"/>
    </w:rPr>
  </w:style>
  <w:style w:type="paragraph" w:customStyle="1" w:styleId="66">
    <w:name w:val="样式 首行缩进:  2 字符"/>
    <w:basedOn w:val="1"/>
    <w:qFormat/>
    <w:uiPriority w:val="0"/>
    <w:pPr>
      <w:spacing w:line="400" w:lineRule="exact"/>
      <w:ind w:firstLine="200" w:firstLineChars="200"/>
    </w:pPr>
    <w:rPr>
      <w:rFonts w:cs="宋体"/>
      <w:sz w:val="24"/>
    </w:rPr>
  </w:style>
  <w:style w:type="character" w:customStyle="1" w:styleId="67">
    <w:name w:val="（符号）邀请函中一、"/>
    <w:basedOn w:val="43"/>
    <w:qFormat/>
    <w:uiPriority w:val="0"/>
    <w:rPr>
      <w:rFonts w:ascii="黑体" w:hAnsi="黑体" w:eastAsia="黑体"/>
      <w:b/>
      <w:bCs/>
      <w:sz w:val="24"/>
    </w:rPr>
  </w:style>
  <w:style w:type="character" w:customStyle="1" w:styleId="68">
    <w:name w:val="批注框文本 Char"/>
    <w:basedOn w:val="43"/>
    <w:link w:val="26"/>
    <w:qFormat/>
    <w:uiPriority w:val="0"/>
    <w:rPr>
      <w:rFonts w:ascii="Times New Roman" w:hAnsi="Times New Roman" w:eastAsia="宋体" w:cs="Times New Roman"/>
      <w:sz w:val="18"/>
      <w:szCs w:val="18"/>
    </w:rPr>
  </w:style>
  <w:style w:type="character" w:customStyle="1" w:styleId="69">
    <w:name w:val="Char Char9"/>
    <w:qFormat/>
    <w:uiPriority w:val="0"/>
    <w:rPr>
      <w:kern w:val="2"/>
      <w:sz w:val="21"/>
    </w:rPr>
  </w:style>
  <w:style w:type="character" w:customStyle="1" w:styleId="70">
    <w:name w:val="批注文字 Char1"/>
    <w:link w:val="16"/>
    <w:qFormat/>
    <w:uiPriority w:val="0"/>
    <w:rPr>
      <w:sz w:val="18"/>
    </w:rPr>
  </w:style>
  <w:style w:type="character" w:customStyle="1" w:styleId="71">
    <w:name w:val="批注文字 Char"/>
    <w:basedOn w:val="43"/>
    <w:qFormat/>
    <w:uiPriority w:val="0"/>
    <w:rPr>
      <w:rFonts w:ascii="Times New Roman" w:hAnsi="Times New Roman" w:eastAsia="宋体" w:cs="Times New Roman"/>
      <w:szCs w:val="24"/>
    </w:rPr>
  </w:style>
  <w:style w:type="character" w:customStyle="1" w:styleId="72">
    <w:name w:val="纯文本 Char"/>
    <w:link w:val="22"/>
    <w:unhideWhenUsed/>
    <w:qFormat/>
    <w:uiPriority w:val="0"/>
    <w:rPr>
      <w:rFonts w:ascii="宋体" w:hAnsi="Tms Rmn" w:eastAsia="宋体"/>
    </w:rPr>
  </w:style>
  <w:style w:type="character" w:customStyle="1" w:styleId="73">
    <w:name w:val="纯文本 Char1"/>
    <w:basedOn w:val="43"/>
    <w:qFormat/>
    <w:uiPriority w:val="99"/>
    <w:rPr>
      <w:rFonts w:ascii="宋体" w:hAnsi="Courier New" w:eastAsia="宋体" w:cs="Courier New"/>
      <w:szCs w:val="21"/>
    </w:rPr>
  </w:style>
  <w:style w:type="paragraph" w:customStyle="1" w:styleId="74">
    <w:name w:val="GW-正文"/>
    <w:basedOn w:val="1"/>
    <w:link w:val="75"/>
    <w:qFormat/>
    <w:uiPriority w:val="0"/>
    <w:pPr>
      <w:spacing w:line="360" w:lineRule="auto"/>
      <w:ind w:firstLine="200" w:firstLineChars="200"/>
    </w:pPr>
    <w:rPr>
      <w:rFonts w:eastAsia="仿宋_GB2312"/>
      <w:sz w:val="24"/>
    </w:rPr>
  </w:style>
  <w:style w:type="character" w:customStyle="1" w:styleId="75">
    <w:name w:val="GW-正文 Char"/>
    <w:link w:val="74"/>
    <w:qFormat/>
    <w:uiPriority w:val="0"/>
    <w:rPr>
      <w:rFonts w:ascii="Times New Roman" w:hAnsi="Times New Roman" w:eastAsia="仿宋_GB2312" w:cs="Times New Roman"/>
      <w:sz w:val="24"/>
      <w:szCs w:val="24"/>
    </w:rPr>
  </w:style>
  <w:style w:type="paragraph" w:styleId="76">
    <w:name w:val="List Paragraph"/>
    <w:basedOn w:val="1"/>
    <w:link w:val="77"/>
    <w:qFormat/>
    <w:uiPriority w:val="0"/>
    <w:pPr>
      <w:ind w:firstLine="420" w:firstLineChars="200"/>
    </w:pPr>
  </w:style>
  <w:style w:type="character" w:customStyle="1" w:styleId="77">
    <w:name w:val="列出段落 Char"/>
    <w:link w:val="76"/>
    <w:qFormat/>
    <w:uiPriority w:val="0"/>
    <w:rPr>
      <w:rFonts w:ascii="Times New Roman" w:hAnsi="Times New Roman" w:eastAsia="宋体" w:cs="Times New Roman"/>
      <w:szCs w:val="24"/>
    </w:rPr>
  </w:style>
  <w:style w:type="paragraph" w:customStyle="1" w:styleId="78">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character" w:customStyle="1" w:styleId="79">
    <w:name w:val="正文文本 Char"/>
    <w:basedOn w:val="43"/>
    <w:link w:val="17"/>
    <w:qFormat/>
    <w:uiPriority w:val="0"/>
    <w:rPr>
      <w:rFonts w:ascii="Times New Roman" w:hAnsi="Times New Roman" w:eastAsia="宋体" w:cs="Times New Roman"/>
      <w:szCs w:val="24"/>
    </w:rPr>
  </w:style>
  <w:style w:type="character" w:customStyle="1" w:styleId="80">
    <w:name w:val="标题 2 Char Char"/>
    <w:qFormat/>
    <w:uiPriority w:val="0"/>
    <w:rPr>
      <w:rFonts w:ascii="Arial" w:hAnsi="Arial" w:eastAsia="黑体"/>
      <w:b/>
      <w:kern w:val="2"/>
      <w:sz w:val="28"/>
      <w:lang w:val="en-US" w:eastAsia="zh-CN" w:bidi="ar-SA"/>
    </w:rPr>
  </w:style>
  <w:style w:type="character" w:customStyle="1" w:styleId="81">
    <w:name w:val="标题 1 Char1"/>
    <w:basedOn w:val="43"/>
    <w:qFormat/>
    <w:uiPriority w:val="0"/>
    <w:rPr>
      <w:b/>
      <w:bCs/>
      <w:kern w:val="44"/>
      <w:sz w:val="44"/>
      <w:szCs w:val="44"/>
    </w:rPr>
  </w:style>
  <w:style w:type="character" w:customStyle="1" w:styleId="82">
    <w:name w:val="（符号）三标题1.1 Char"/>
    <w:basedOn w:val="43"/>
    <w:link w:val="83"/>
    <w:qFormat/>
    <w:locked/>
    <w:uiPriority w:val="0"/>
    <w:rPr>
      <w:rFonts w:ascii="宋体" w:hAnsi="宋体" w:eastAsia="宋体"/>
      <w:sz w:val="24"/>
      <w:szCs w:val="24"/>
    </w:rPr>
  </w:style>
  <w:style w:type="paragraph" w:customStyle="1" w:styleId="83">
    <w:name w:val="（符号）三标题1.1"/>
    <w:basedOn w:val="1"/>
    <w:link w:val="82"/>
    <w:qFormat/>
    <w:uiPriority w:val="0"/>
    <w:pPr>
      <w:tabs>
        <w:tab w:val="left" w:pos="700"/>
        <w:tab w:val="left" w:pos="840"/>
      </w:tabs>
      <w:spacing w:line="500" w:lineRule="exact"/>
      <w:ind w:left="840" w:hanging="420"/>
    </w:pPr>
    <w:rPr>
      <w:rFonts w:ascii="宋体" w:hAnsi="宋体" w:cstheme="minorBidi"/>
      <w:sz w:val="24"/>
    </w:rPr>
  </w:style>
  <w:style w:type="character" w:customStyle="1" w:styleId="84">
    <w:name w:val="文档结构图 Char"/>
    <w:basedOn w:val="43"/>
    <w:link w:val="15"/>
    <w:qFormat/>
    <w:uiPriority w:val="0"/>
    <w:rPr>
      <w:rFonts w:ascii="Times New Roman" w:hAnsi="Times New Roman" w:eastAsia="宋体" w:cs="Times New Roman"/>
      <w:szCs w:val="24"/>
      <w:shd w:val="clear" w:color="auto" w:fill="000080"/>
    </w:rPr>
  </w:style>
  <w:style w:type="paragraph" w:customStyle="1" w:styleId="85">
    <w:name w:val="Char2 Char Char"/>
    <w:basedOn w:val="15"/>
    <w:qFormat/>
    <w:uiPriority w:val="0"/>
    <w:rPr>
      <w:rFonts w:ascii="Tahoma" w:hAnsi="Tahoma"/>
      <w:sz w:val="24"/>
    </w:rPr>
  </w:style>
  <w:style w:type="paragraph" w:customStyle="1" w:styleId="86">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87">
    <w:name w:val="Char1"/>
    <w:basedOn w:val="1"/>
    <w:qFormat/>
    <w:uiPriority w:val="0"/>
    <w:rPr>
      <w:szCs w:val="21"/>
    </w:rPr>
  </w:style>
  <w:style w:type="paragraph" w:customStyle="1" w:styleId="88">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9">
    <w:name w:val="Char2"/>
    <w:basedOn w:val="1"/>
    <w:qFormat/>
    <w:uiPriority w:val="0"/>
    <w:pPr>
      <w:adjustRightInd w:val="0"/>
      <w:spacing w:line="400" w:lineRule="exact"/>
      <w:ind w:firstLine="514" w:firstLineChars="200"/>
    </w:pPr>
    <w:rPr>
      <w:rFonts w:ascii="宋体" w:hAnsi="宋体"/>
      <w:b/>
      <w:spacing w:val="8"/>
      <w:kern w:val="0"/>
      <w:sz w:val="24"/>
      <w:szCs w:val="20"/>
    </w:rPr>
  </w:style>
  <w:style w:type="character" w:customStyle="1" w:styleId="90">
    <w:name w:val="批注主题 Char"/>
    <w:basedOn w:val="71"/>
    <w:link w:val="39"/>
    <w:qFormat/>
    <w:uiPriority w:val="0"/>
    <w:rPr>
      <w:rFonts w:ascii="Times New Roman" w:hAnsi="Times New Roman" w:eastAsia="宋体" w:cs="Times New Roman"/>
      <w:b/>
      <w:bCs/>
      <w:szCs w:val="24"/>
    </w:rPr>
  </w:style>
  <w:style w:type="paragraph" w:customStyle="1" w:styleId="91">
    <w:name w:val="Char Char Char Char Char Char Char Char Char Char Char Char Char Char1 Char Char Char Char"/>
    <w:basedOn w:val="1"/>
    <w:qFormat/>
    <w:uiPriority w:val="0"/>
    <w:rPr>
      <w:szCs w:val="21"/>
    </w:rPr>
  </w:style>
  <w:style w:type="paragraph" w:customStyle="1" w:styleId="92">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93">
    <w:name w:val="font31"/>
    <w:basedOn w:val="43"/>
    <w:qFormat/>
    <w:uiPriority w:val="0"/>
    <w:rPr>
      <w:rFonts w:hint="eastAsia" w:ascii="宋体" w:hAnsi="宋体" w:eastAsia="宋体" w:cs="宋体"/>
      <w:color w:val="000000"/>
      <w:sz w:val="21"/>
      <w:szCs w:val="21"/>
      <w:u w:val="none"/>
    </w:rPr>
  </w:style>
  <w:style w:type="character" w:customStyle="1" w:styleId="94">
    <w:name w:val="标题 Char"/>
    <w:basedOn w:val="43"/>
    <w:link w:val="38"/>
    <w:qFormat/>
    <w:uiPriority w:val="0"/>
    <w:rPr>
      <w:rFonts w:ascii="Cambria" w:hAnsi="Cambria"/>
      <w:b/>
      <w:bCs/>
      <w:sz w:val="32"/>
      <w:szCs w:val="32"/>
    </w:rPr>
  </w:style>
  <w:style w:type="character" w:customStyle="1" w:styleId="95">
    <w:name w:val="标题 5 Char"/>
    <w:basedOn w:val="43"/>
    <w:link w:val="7"/>
    <w:qFormat/>
    <w:uiPriority w:val="0"/>
    <w:rPr>
      <w:rFonts w:ascii="Times New Roman" w:hAnsi="Times New Roman" w:eastAsia="宋体" w:cs="Times New Roman"/>
      <w:b/>
      <w:sz w:val="28"/>
      <w:szCs w:val="20"/>
    </w:rPr>
  </w:style>
  <w:style w:type="character" w:customStyle="1" w:styleId="96">
    <w:name w:val="标题 6 Char"/>
    <w:basedOn w:val="43"/>
    <w:link w:val="8"/>
    <w:qFormat/>
    <w:uiPriority w:val="0"/>
    <w:rPr>
      <w:rFonts w:ascii="Cambria" w:hAnsi="Cambria" w:eastAsia="宋体" w:cs="Times New Roman"/>
      <w:b/>
      <w:bCs/>
      <w:sz w:val="24"/>
      <w:szCs w:val="24"/>
    </w:rPr>
  </w:style>
  <w:style w:type="character" w:customStyle="1" w:styleId="97">
    <w:name w:val="标题 7 Char"/>
    <w:basedOn w:val="43"/>
    <w:link w:val="9"/>
    <w:qFormat/>
    <w:uiPriority w:val="0"/>
    <w:rPr>
      <w:rFonts w:ascii="Calibri" w:hAnsi="Calibri" w:eastAsia="宋体" w:cs="Times New Roman"/>
      <w:b/>
      <w:bCs/>
      <w:sz w:val="24"/>
      <w:szCs w:val="24"/>
    </w:rPr>
  </w:style>
  <w:style w:type="character" w:customStyle="1" w:styleId="98">
    <w:name w:val="标题 8 Char"/>
    <w:basedOn w:val="43"/>
    <w:link w:val="10"/>
    <w:qFormat/>
    <w:uiPriority w:val="0"/>
    <w:rPr>
      <w:rFonts w:ascii="Cambria" w:hAnsi="Cambria" w:eastAsia="宋体" w:cs="Times New Roman"/>
      <w:sz w:val="24"/>
      <w:szCs w:val="24"/>
    </w:rPr>
  </w:style>
  <w:style w:type="character" w:customStyle="1" w:styleId="99">
    <w:name w:val="标题 9 Char"/>
    <w:basedOn w:val="43"/>
    <w:link w:val="11"/>
    <w:qFormat/>
    <w:uiPriority w:val="0"/>
    <w:rPr>
      <w:rFonts w:ascii="Cambria" w:hAnsi="Cambria" w:eastAsia="宋体" w:cs="Times New Roman"/>
      <w:szCs w:val="21"/>
    </w:rPr>
  </w:style>
  <w:style w:type="table" w:customStyle="1" w:styleId="100">
    <w:name w:val="网格型1"/>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02">
    <w:name w:val="Plain Text1"/>
    <w:basedOn w:val="1"/>
    <w:qFormat/>
    <w:uiPriority w:val="0"/>
    <w:pPr>
      <w:adjustRightInd w:val="0"/>
      <w:jc w:val="left"/>
      <w:textAlignment w:val="baseline"/>
    </w:pPr>
    <w:rPr>
      <w:rFonts w:ascii="宋体" w:hAnsi="Courier New"/>
      <w:sz w:val="24"/>
      <w:szCs w:val="20"/>
    </w:rPr>
  </w:style>
  <w:style w:type="character" w:customStyle="1" w:styleId="103">
    <w:name w:val="Char Char3"/>
    <w:qFormat/>
    <w:uiPriority w:val="0"/>
    <w:rPr>
      <w:rFonts w:ascii="Arial" w:hAnsi="Arial" w:eastAsia="黑体"/>
      <w:b/>
      <w:kern w:val="2"/>
      <w:sz w:val="32"/>
      <w:lang w:val="en-US" w:eastAsia="zh-CN"/>
    </w:rPr>
  </w:style>
  <w:style w:type="character" w:customStyle="1" w:styleId="104">
    <w:name w:val="Char Char Char"/>
    <w:link w:val="105"/>
    <w:qFormat/>
    <w:uiPriority w:val="0"/>
    <w:rPr>
      <w:rFonts w:ascii="Arial" w:hAnsi="Arial" w:eastAsia="黑体"/>
      <w:b/>
      <w:sz w:val="32"/>
    </w:rPr>
  </w:style>
  <w:style w:type="paragraph" w:customStyle="1" w:styleId="105">
    <w:name w:val="Char"/>
    <w:basedOn w:val="1"/>
    <w:link w:val="104"/>
    <w:qFormat/>
    <w:uiPriority w:val="0"/>
    <w:rPr>
      <w:rFonts w:ascii="Arial" w:hAnsi="Arial" w:eastAsia="黑体" w:cstheme="minorBidi"/>
      <w:b/>
      <w:sz w:val="32"/>
      <w:szCs w:val="22"/>
    </w:rPr>
  </w:style>
  <w:style w:type="character" w:customStyle="1" w:styleId="106">
    <w:name w:val="无间距字符"/>
    <w:link w:val="107"/>
    <w:qFormat/>
    <w:uiPriority w:val="0"/>
    <w:rPr>
      <w:rFonts w:ascii="Calibri" w:hAnsi="Calibri"/>
      <w:sz w:val="22"/>
    </w:rPr>
  </w:style>
  <w:style w:type="paragraph" w:customStyle="1" w:styleId="107">
    <w:name w:val="无间距"/>
    <w:link w:val="106"/>
    <w:qFormat/>
    <w:uiPriority w:val="0"/>
    <w:rPr>
      <w:rFonts w:ascii="Calibri" w:hAnsi="Calibri" w:eastAsiaTheme="minorEastAsia" w:cstheme="minorBidi"/>
      <w:kern w:val="2"/>
      <w:sz w:val="22"/>
      <w:szCs w:val="22"/>
      <w:lang w:val="en-US" w:eastAsia="zh-CN" w:bidi="ar-SA"/>
    </w:rPr>
  </w:style>
  <w:style w:type="character" w:customStyle="1" w:styleId="108">
    <w:name w:val="tdrownotice1"/>
    <w:qFormat/>
    <w:uiPriority w:val="0"/>
    <w:rPr>
      <w:sz w:val="22"/>
    </w:rPr>
  </w:style>
  <w:style w:type="character" w:customStyle="1" w:styleId="109">
    <w:name w:val="正文文本缩进 Char1"/>
    <w:basedOn w:val="43"/>
    <w:semiHidden/>
    <w:qFormat/>
    <w:uiPriority w:val="99"/>
    <w:rPr>
      <w:kern w:val="2"/>
      <w:sz w:val="21"/>
    </w:rPr>
  </w:style>
  <w:style w:type="character" w:customStyle="1" w:styleId="110">
    <w:name w:val="批注主题 Char1"/>
    <w:basedOn w:val="70"/>
    <w:qFormat/>
    <w:uiPriority w:val="0"/>
    <w:rPr>
      <w:rFonts w:ascii="Times New Roman" w:hAnsi="Times New Roman" w:eastAsia="宋体" w:cs="Times New Roman"/>
      <w:b/>
      <w:bCs/>
      <w:kern w:val="2"/>
      <w:sz w:val="21"/>
      <w:szCs w:val="24"/>
    </w:rPr>
  </w:style>
  <w:style w:type="character" w:customStyle="1" w:styleId="111">
    <w:name w:val="日期 Char"/>
    <w:basedOn w:val="43"/>
    <w:link w:val="24"/>
    <w:qFormat/>
    <w:uiPriority w:val="0"/>
    <w:rPr>
      <w:rFonts w:ascii="Times New Roman" w:hAnsi="Times New Roman" w:eastAsia="宋体" w:cs="Times New Roman"/>
      <w:szCs w:val="20"/>
    </w:rPr>
  </w:style>
  <w:style w:type="character" w:customStyle="1" w:styleId="112">
    <w:name w:val="标题 Char1"/>
    <w:basedOn w:val="43"/>
    <w:qFormat/>
    <w:uiPriority w:val="10"/>
    <w:rPr>
      <w:rFonts w:eastAsia="宋体" w:asciiTheme="majorHAnsi" w:hAnsiTheme="majorHAnsi" w:cstheme="majorBidi"/>
      <w:b/>
      <w:bCs/>
      <w:kern w:val="2"/>
      <w:sz w:val="32"/>
      <w:szCs w:val="32"/>
    </w:rPr>
  </w:style>
  <w:style w:type="paragraph" w:customStyle="1" w:styleId="113">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114">
    <w:name w:val="样式 首行缩进:  2 字符1"/>
    <w:basedOn w:val="1"/>
    <w:qFormat/>
    <w:uiPriority w:val="0"/>
    <w:pPr>
      <w:spacing w:line="400" w:lineRule="exact"/>
      <w:ind w:firstLine="200" w:firstLineChars="200"/>
    </w:pPr>
    <w:rPr>
      <w:sz w:val="24"/>
      <w:szCs w:val="20"/>
    </w:rPr>
  </w:style>
  <w:style w:type="paragraph" w:customStyle="1" w:styleId="115">
    <w:name w:val="Char Char Char Char Char Char Char"/>
    <w:basedOn w:val="1"/>
    <w:qFormat/>
    <w:uiPriority w:val="0"/>
    <w:rPr>
      <w:szCs w:val="20"/>
    </w:rPr>
  </w:style>
  <w:style w:type="paragraph" w:customStyle="1" w:styleId="116">
    <w:name w:val="bf.1"/>
    <w:basedOn w:val="13"/>
    <w:qFormat/>
    <w:uiPriority w:val="0"/>
    <w:pPr>
      <w:autoSpaceDE w:val="0"/>
      <w:autoSpaceDN w:val="0"/>
      <w:adjustRightInd w:val="0"/>
      <w:spacing w:before="50" w:after="100" w:line="500" w:lineRule="exact"/>
      <w:ind w:firstLine="0" w:firstLineChars="0"/>
    </w:pPr>
    <w:rPr>
      <w:rFonts w:ascii="仿宋_GB2312" w:hAnsi="宋体" w:eastAsia="仿宋_GB2312"/>
      <w:color w:val="000000"/>
      <w:sz w:val="24"/>
      <w:szCs w:val="20"/>
    </w:rPr>
  </w:style>
  <w:style w:type="paragraph" w:customStyle="1" w:styleId="117">
    <w:name w:val="第一章"/>
    <w:basedOn w:val="1"/>
    <w:next w:val="1"/>
    <w:qFormat/>
    <w:uiPriority w:val="0"/>
    <w:pPr>
      <w:tabs>
        <w:tab w:val="left" w:pos="0"/>
      </w:tabs>
      <w:spacing w:line="360" w:lineRule="auto"/>
      <w:ind w:hanging="500" w:hangingChars="500"/>
    </w:pPr>
    <w:rPr>
      <w:rFonts w:eastAsia="黑体"/>
      <w:sz w:val="44"/>
      <w:szCs w:val="20"/>
    </w:rPr>
  </w:style>
  <w:style w:type="paragraph" w:customStyle="1" w:styleId="118">
    <w:name w:val="blockquote"/>
    <w:basedOn w:val="1"/>
    <w:qFormat/>
    <w:uiPriority w:val="0"/>
    <w:pPr>
      <w:widowControl/>
      <w:spacing w:before="100" w:beforeAutospacing="1" w:after="100" w:afterAutospacing="1"/>
    </w:pPr>
    <w:rPr>
      <w:rFonts w:ascii="宋体" w:hAnsi="宋体"/>
      <w:kern w:val="0"/>
      <w:sz w:val="24"/>
      <w:szCs w:val="20"/>
    </w:rPr>
  </w:style>
  <w:style w:type="paragraph" w:customStyle="1" w:styleId="119">
    <w:name w:val="样式1"/>
    <w:basedOn w:val="3"/>
    <w:qFormat/>
    <w:uiPriority w:val="0"/>
    <w:pPr>
      <w:spacing w:line="576" w:lineRule="auto"/>
    </w:pPr>
    <w:rPr>
      <w:bCs w:val="0"/>
      <w:szCs w:val="20"/>
    </w:rPr>
  </w:style>
  <w:style w:type="paragraph" w:customStyle="1" w:styleId="120">
    <w:name w:val="Char Char1 Char"/>
    <w:basedOn w:val="1"/>
    <w:qFormat/>
    <w:uiPriority w:val="0"/>
    <w:rPr>
      <w:szCs w:val="20"/>
    </w:rPr>
  </w:style>
  <w:style w:type="paragraph" w:customStyle="1" w:styleId="121">
    <w:name w:val="Char Char Char Char"/>
    <w:basedOn w:val="1"/>
    <w:qFormat/>
    <w:uiPriority w:val="0"/>
    <w:rPr>
      <w:szCs w:val="20"/>
    </w:rPr>
  </w:style>
  <w:style w:type="paragraph" w:customStyle="1" w:styleId="122">
    <w:name w:val="样式3"/>
    <w:basedOn w:val="3"/>
    <w:qFormat/>
    <w:uiPriority w:val="0"/>
    <w:pPr>
      <w:spacing w:line="576" w:lineRule="auto"/>
    </w:pPr>
    <w:rPr>
      <w:bCs w:val="0"/>
      <w:szCs w:val="20"/>
    </w:rPr>
  </w:style>
  <w:style w:type="paragraph" w:customStyle="1" w:styleId="123">
    <w:name w:val="p0"/>
    <w:basedOn w:val="1"/>
    <w:qFormat/>
    <w:uiPriority w:val="0"/>
    <w:pPr>
      <w:widowControl/>
    </w:pPr>
    <w:rPr>
      <w:kern w:val="0"/>
      <w:szCs w:val="21"/>
    </w:rPr>
  </w:style>
  <w:style w:type="paragraph" w:customStyle="1" w:styleId="124">
    <w:name w:val="Char Char Char Char Char Char Char Char Char Char Char Char Char"/>
    <w:basedOn w:val="1"/>
    <w:qFormat/>
    <w:uiPriority w:val="0"/>
    <w:pPr>
      <w:widowControl/>
      <w:spacing w:after="160" w:line="240" w:lineRule="exact"/>
      <w:jc w:val="left"/>
    </w:pPr>
  </w:style>
  <w:style w:type="paragraph" w:customStyle="1" w:styleId="125">
    <w:name w:val="样式2"/>
    <w:basedOn w:val="1"/>
    <w:qFormat/>
    <w:uiPriority w:val="0"/>
    <w:pPr>
      <w:ind w:firstLine="420" w:firstLineChars="150"/>
    </w:pPr>
    <w:rPr>
      <w:sz w:val="24"/>
      <w:szCs w:val="20"/>
      <w:lang w:val="en-GB"/>
    </w:rPr>
  </w:style>
  <w:style w:type="paragraph" w:customStyle="1" w:styleId="126">
    <w:name w:val="Blockquote"/>
    <w:basedOn w:val="1"/>
    <w:qFormat/>
    <w:uiPriority w:val="0"/>
    <w:pPr>
      <w:autoSpaceDE w:val="0"/>
      <w:autoSpaceDN w:val="0"/>
      <w:adjustRightInd w:val="0"/>
      <w:spacing w:before="100" w:after="100"/>
      <w:ind w:left="360"/>
    </w:pPr>
    <w:rPr>
      <w:kern w:val="0"/>
      <w:sz w:val="24"/>
      <w:szCs w:val="20"/>
    </w:rPr>
  </w:style>
  <w:style w:type="paragraph" w:customStyle="1" w:styleId="127">
    <w:name w:val="Char1 Char Char Char"/>
    <w:basedOn w:val="1"/>
    <w:qFormat/>
    <w:uiPriority w:val="0"/>
    <w:rPr>
      <w:szCs w:val="20"/>
    </w:rPr>
  </w:style>
  <w:style w:type="character" w:customStyle="1" w:styleId="128">
    <w:name w:val="正文文本 Char1"/>
    <w:qFormat/>
    <w:uiPriority w:val="0"/>
    <w:rPr>
      <w:kern w:val="2"/>
      <w:sz w:val="21"/>
      <w:szCs w:val="22"/>
    </w:rPr>
  </w:style>
  <w:style w:type="character" w:customStyle="1" w:styleId="129">
    <w:name w:val="明显引用 Char"/>
    <w:link w:val="130"/>
    <w:qFormat/>
    <w:uiPriority w:val="0"/>
    <w:rPr>
      <w:b/>
      <w:bCs/>
      <w:i/>
      <w:iCs/>
      <w:color w:val="4F81BD"/>
    </w:rPr>
  </w:style>
  <w:style w:type="paragraph" w:styleId="130">
    <w:name w:val="Intense Quote"/>
    <w:basedOn w:val="1"/>
    <w:next w:val="1"/>
    <w:link w:val="12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131">
    <w:name w:val="不明显强调1"/>
    <w:qFormat/>
    <w:uiPriority w:val="0"/>
    <w:rPr>
      <w:i/>
      <w:iCs/>
      <w:color w:val="808080"/>
    </w:rPr>
  </w:style>
  <w:style w:type="character" w:customStyle="1" w:styleId="132">
    <w:name w:val="标题4 Char Char"/>
    <w:qFormat/>
    <w:uiPriority w:val="0"/>
    <w:rPr>
      <w:rFonts w:ascii="Arial" w:hAnsi="Arial"/>
      <w:b/>
      <w:bCs/>
      <w:sz w:val="24"/>
      <w:szCs w:val="32"/>
    </w:rPr>
  </w:style>
  <w:style w:type="character" w:customStyle="1" w:styleId="133">
    <w:name w:val="标题5 Char Char"/>
    <w:link w:val="134"/>
    <w:qFormat/>
    <w:uiPriority w:val="0"/>
    <w:rPr>
      <w:rFonts w:ascii="Arial" w:hAnsi="Arial"/>
      <w:b/>
      <w:bCs/>
      <w:sz w:val="24"/>
      <w:szCs w:val="32"/>
    </w:rPr>
  </w:style>
  <w:style w:type="paragraph" w:customStyle="1" w:styleId="134">
    <w:name w:val="标题5"/>
    <w:basedOn w:val="5"/>
    <w:link w:val="133"/>
    <w:qFormat/>
    <w:uiPriority w:val="0"/>
    <w:pPr>
      <w:spacing w:line="413" w:lineRule="auto"/>
    </w:pPr>
    <w:rPr>
      <w:rFonts w:ascii="Arial" w:hAnsi="Arial" w:eastAsiaTheme="minorEastAsia" w:cstheme="minorBidi"/>
      <w:sz w:val="24"/>
    </w:rPr>
  </w:style>
  <w:style w:type="character" w:customStyle="1" w:styleId="135">
    <w:name w:val="明显参考1"/>
    <w:qFormat/>
    <w:uiPriority w:val="0"/>
    <w:rPr>
      <w:b/>
      <w:bCs/>
      <w:smallCaps/>
      <w:color w:val="C0504D"/>
      <w:spacing w:val="5"/>
      <w:u w:val="single"/>
    </w:rPr>
  </w:style>
  <w:style w:type="character" w:customStyle="1" w:styleId="136">
    <w:name w:val="书籍标题1"/>
    <w:qFormat/>
    <w:uiPriority w:val="0"/>
    <w:rPr>
      <w:b/>
      <w:bCs/>
      <w:smallCaps/>
      <w:spacing w:val="5"/>
    </w:rPr>
  </w:style>
  <w:style w:type="character" w:customStyle="1" w:styleId="137">
    <w:name w:val="批注框文本 Char1"/>
    <w:qFormat/>
    <w:uiPriority w:val="0"/>
    <w:rPr>
      <w:kern w:val="2"/>
      <w:sz w:val="18"/>
      <w:szCs w:val="18"/>
    </w:rPr>
  </w:style>
  <w:style w:type="character" w:customStyle="1" w:styleId="138">
    <w:name w:val="引用 Char"/>
    <w:link w:val="139"/>
    <w:qFormat/>
    <w:uiPriority w:val="0"/>
    <w:rPr>
      <w:i/>
      <w:iCs/>
      <w:color w:val="000000"/>
    </w:rPr>
  </w:style>
  <w:style w:type="paragraph" w:styleId="139">
    <w:name w:val="Quote"/>
    <w:basedOn w:val="1"/>
    <w:next w:val="1"/>
    <w:link w:val="138"/>
    <w:qFormat/>
    <w:uiPriority w:val="0"/>
    <w:rPr>
      <w:rFonts w:asciiTheme="minorHAnsi" w:hAnsiTheme="minorHAnsi" w:eastAsiaTheme="minorEastAsia" w:cstheme="minorBidi"/>
      <w:i/>
      <w:iCs/>
      <w:color w:val="000000"/>
      <w:szCs w:val="22"/>
    </w:rPr>
  </w:style>
  <w:style w:type="character" w:customStyle="1" w:styleId="140">
    <w:name w:val="日期 Char1"/>
    <w:qFormat/>
    <w:uiPriority w:val="0"/>
    <w:rPr>
      <w:kern w:val="2"/>
      <w:sz w:val="21"/>
      <w:szCs w:val="22"/>
    </w:rPr>
  </w:style>
  <w:style w:type="character" w:customStyle="1" w:styleId="141">
    <w:name w:val="明显强调1"/>
    <w:qFormat/>
    <w:uiPriority w:val="0"/>
    <w:rPr>
      <w:b/>
      <w:bCs/>
      <w:i/>
      <w:iCs/>
      <w:color w:val="4F81BD"/>
    </w:rPr>
  </w:style>
  <w:style w:type="character" w:customStyle="1" w:styleId="142">
    <w:name w:val="textcontents"/>
    <w:qFormat/>
    <w:uiPriority w:val="0"/>
    <w:rPr>
      <w:rFonts w:cs="Times New Roman"/>
    </w:rPr>
  </w:style>
  <w:style w:type="character" w:customStyle="1" w:styleId="143">
    <w:name w:val="不明显参考1"/>
    <w:qFormat/>
    <w:uiPriority w:val="0"/>
    <w:rPr>
      <w:smallCaps/>
      <w:color w:val="C0504D"/>
      <w:u w:val="single"/>
    </w:rPr>
  </w:style>
  <w:style w:type="character" w:customStyle="1" w:styleId="144">
    <w:name w:val="批注文字 Char Char"/>
    <w:qFormat/>
    <w:uiPriority w:val="0"/>
    <w:rPr>
      <w:rFonts w:ascii="宋体" w:hAnsi="Times New Roman" w:eastAsia="宋体" w:cs="Times New Roman"/>
      <w:sz w:val="28"/>
      <w:szCs w:val="20"/>
    </w:rPr>
  </w:style>
  <w:style w:type="character" w:customStyle="1" w:styleId="145">
    <w:name w:val="副标题 Char"/>
    <w:link w:val="31"/>
    <w:qFormat/>
    <w:uiPriority w:val="0"/>
    <w:rPr>
      <w:rFonts w:ascii="Cambria" w:hAnsi="Cambria"/>
      <w:b/>
      <w:bCs/>
      <w:kern w:val="28"/>
      <w:sz w:val="32"/>
      <w:szCs w:val="32"/>
    </w:rPr>
  </w:style>
  <w:style w:type="character" w:customStyle="1" w:styleId="146">
    <w:name w:val="文档结构图 Char1"/>
    <w:qFormat/>
    <w:uiPriority w:val="0"/>
    <w:rPr>
      <w:rFonts w:ascii="宋体"/>
      <w:kern w:val="2"/>
      <w:sz w:val="18"/>
      <w:szCs w:val="18"/>
    </w:rPr>
  </w:style>
  <w:style w:type="paragraph" w:customStyle="1" w:styleId="147">
    <w:name w:val="修订2"/>
    <w:qFormat/>
    <w:uiPriority w:val="0"/>
    <w:rPr>
      <w:rFonts w:ascii="Times New Roman" w:hAnsi="Times New Roman" w:eastAsia="宋体" w:cs="Times New Roman"/>
      <w:kern w:val="2"/>
      <w:sz w:val="21"/>
      <w:szCs w:val="24"/>
      <w:lang w:val="en-US" w:eastAsia="zh-CN" w:bidi="ar-SA"/>
    </w:rPr>
  </w:style>
  <w:style w:type="character" w:customStyle="1" w:styleId="148">
    <w:name w:val="批注框文本 Char2"/>
    <w:semiHidden/>
    <w:qFormat/>
    <w:uiPriority w:val="99"/>
    <w:rPr>
      <w:kern w:val="2"/>
      <w:sz w:val="18"/>
      <w:szCs w:val="18"/>
    </w:rPr>
  </w:style>
  <w:style w:type="character" w:customStyle="1" w:styleId="149">
    <w:name w:val="批注主题 Char2"/>
    <w:semiHidden/>
    <w:qFormat/>
    <w:uiPriority w:val="99"/>
    <w:rPr>
      <w:b/>
      <w:bCs/>
      <w:kern w:val="2"/>
      <w:sz w:val="21"/>
      <w:szCs w:val="22"/>
    </w:rPr>
  </w:style>
  <w:style w:type="character" w:customStyle="1" w:styleId="150">
    <w:name w:val="文档结构图 Char2"/>
    <w:semiHidden/>
    <w:qFormat/>
    <w:uiPriority w:val="99"/>
    <w:rPr>
      <w:rFonts w:ascii="宋体"/>
      <w:kern w:val="2"/>
      <w:sz w:val="18"/>
      <w:szCs w:val="18"/>
    </w:rPr>
  </w:style>
  <w:style w:type="character" w:customStyle="1" w:styleId="151">
    <w:name w:val="日期 Char2"/>
    <w:semiHidden/>
    <w:qFormat/>
    <w:uiPriority w:val="99"/>
    <w:rPr>
      <w:kern w:val="2"/>
      <w:sz w:val="21"/>
      <w:szCs w:val="22"/>
    </w:rPr>
  </w:style>
  <w:style w:type="character" w:customStyle="1" w:styleId="152">
    <w:name w:val="正文文本 Char2"/>
    <w:basedOn w:val="43"/>
    <w:semiHidden/>
    <w:qFormat/>
    <w:uiPriority w:val="99"/>
    <w:rPr>
      <w:kern w:val="2"/>
      <w:sz w:val="21"/>
    </w:rPr>
  </w:style>
  <w:style w:type="paragraph" w:customStyle="1" w:styleId="153">
    <w:name w:val="TOC 标题1"/>
    <w:basedOn w:val="3"/>
    <w:next w:val="1"/>
    <w:qFormat/>
    <w:uiPriority w:val="0"/>
    <w:pPr>
      <w:spacing w:line="576" w:lineRule="auto"/>
      <w:outlineLvl w:val="9"/>
    </w:pPr>
    <w:rPr>
      <w:rFonts w:ascii="Calibri" w:hAnsi="Calibri"/>
    </w:rPr>
  </w:style>
  <w:style w:type="character" w:customStyle="1" w:styleId="154">
    <w:name w:val="副标题 Char1"/>
    <w:basedOn w:val="43"/>
    <w:qFormat/>
    <w:uiPriority w:val="11"/>
    <w:rPr>
      <w:rFonts w:eastAsia="宋体" w:asciiTheme="majorHAnsi" w:hAnsiTheme="majorHAnsi" w:cstheme="majorBidi"/>
      <w:b/>
      <w:bCs/>
      <w:kern w:val="28"/>
      <w:sz w:val="32"/>
      <w:szCs w:val="32"/>
    </w:rPr>
  </w:style>
  <w:style w:type="character" w:customStyle="1" w:styleId="155">
    <w:name w:val="明显引用 Char1"/>
    <w:basedOn w:val="43"/>
    <w:qFormat/>
    <w:uiPriority w:val="30"/>
    <w:rPr>
      <w:rFonts w:ascii="Times New Roman" w:hAnsi="Times New Roman" w:eastAsia="宋体" w:cs="Times New Roman"/>
      <w:i/>
      <w:iCs/>
      <w:color w:val="4F81BD" w:themeColor="accent1"/>
      <w:szCs w:val="24"/>
      <w14:textFill>
        <w14:solidFill>
          <w14:schemeClr w14:val="accent1"/>
        </w14:solidFill>
      </w14:textFill>
    </w:rPr>
  </w:style>
  <w:style w:type="paragraph" w:customStyle="1" w:styleId="15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styleId="158">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引用 Char1"/>
    <w:basedOn w:val="43"/>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customStyle="1" w:styleId="16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1">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2">
    <w:name w:val="列出段落1"/>
    <w:basedOn w:val="1"/>
    <w:qFormat/>
    <w:uiPriority w:val="99"/>
    <w:pPr>
      <w:widowControl/>
      <w:ind w:firstLine="420" w:firstLineChars="200"/>
      <w:jc w:val="left"/>
    </w:pPr>
    <w:rPr>
      <w:kern w:val="0"/>
      <w:sz w:val="24"/>
      <w:lang w:val="zh-CN"/>
    </w:rPr>
  </w:style>
  <w:style w:type="paragraph" w:customStyle="1" w:styleId="163">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64">
    <w:name w:val="font81"/>
    <w:basedOn w:val="43"/>
    <w:qFormat/>
    <w:uiPriority w:val="0"/>
    <w:rPr>
      <w:rFonts w:hint="eastAsia" w:ascii="宋体" w:hAnsi="宋体" w:eastAsia="宋体" w:cs="宋体"/>
      <w:b/>
      <w:bCs/>
      <w:color w:val="000000"/>
      <w:sz w:val="20"/>
      <w:szCs w:val="20"/>
      <w:u w:val="none"/>
    </w:rPr>
  </w:style>
  <w:style w:type="character" w:customStyle="1" w:styleId="165">
    <w:name w:val="font51"/>
    <w:basedOn w:val="43"/>
    <w:qFormat/>
    <w:uiPriority w:val="0"/>
    <w:rPr>
      <w:rFonts w:hint="eastAsia" w:ascii="宋体" w:hAnsi="宋体" w:eastAsia="宋体" w:cs="宋体"/>
      <w:color w:val="000000"/>
      <w:sz w:val="20"/>
      <w:szCs w:val="20"/>
      <w:u w:val="none"/>
    </w:rPr>
  </w:style>
  <w:style w:type="character" w:customStyle="1" w:styleId="166">
    <w:name w:val="font91"/>
    <w:basedOn w:val="43"/>
    <w:qFormat/>
    <w:uiPriority w:val="0"/>
    <w:rPr>
      <w:rFonts w:ascii="Calibri" w:hAnsi="Calibri" w:cs="Calibri"/>
      <w:color w:val="000000"/>
      <w:sz w:val="20"/>
      <w:szCs w:val="20"/>
      <w:u w:val="none"/>
    </w:rPr>
  </w:style>
  <w:style w:type="paragraph" w:customStyle="1" w:styleId="167">
    <w:name w:val="14、“第一章”一级标题"/>
    <w:basedOn w:val="168"/>
    <w:qFormat/>
    <w:uiPriority w:val="0"/>
    <w:pPr>
      <w:numPr>
        <w:ilvl w:val="0"/>
        <w:numId w:val="1"/>
      </w:numPr>
      <w:spacing w:before="50" w:beforeLines="50" w:after="50" w:afterLines="50"/>
      <w:jc w:val="center"/>
      <w:outlineLvl w:val="0"/>
    </w:pPr>
    <w:rPr>
      <w:b/>
      <w:sz w:val="36"/>
    </w:rPr>
  </w:style>
  <w:style w:type="paragraph" w:customStyle="1" w:styleId="168">
    <w:name w:val="01、普通正文"/>
    <w:basedOn w:val="1"/>
    <w:next w:val="32"/>
    <w:qFormat/>
    <w:uiPriority w:val="0"/>
    <w:pPr>
      <w:tabs>
        <w:tab w:val="left" w:pos="0"/>
      </w:tabs>
      <w:wordWrap w:val="0"/>
      <w:topLinePunct/>
    </w:pPr>
    <w:rPr>
      <w:rFonts w:ascii="宋体" w:hAnsi="宋体"/>
      <w:snapToGrid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tyleName="" SelectedStyle=""/>
</file>

<file path=customXml/itemProps1.xml><?xml version="1.0" encoding="utf-8"?>
<ds:datastoreItem xmlns:ds="http://schemas.openxmlformats.org/officeDocument/2006/customXml" ds:itemID="{FD74AACE-61A0-4514-B8FF-624F8C0985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10195</Words>
  <Characters>10822</Characters>
  <Lines>372</Lines>
  <Paragraphs>104</Paragraphs>
  <TotalTime>4</TotalTime>
  <ScaleCrop>false</ScaleCrop>
  <LinksUpToDate>false</LinksUpToDate>
  <CharactersWithSpaces>11062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2024-06-05T02:52:00Z</dcterms:created>
  <dc:creator>张鹏举</dc:creator>
  <cp:lastModifiedBy>Administrator</cp:lastModifiedBy>
  <dcterms:modified xsi:type="dcterms:W3CDTF">2025-05-29T07:50:47Z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85E955B3B97C441E8A62876939E88751_12</vt:lpwstr>
  </property>
  <property fmtid="{D5CDD505-2E9C-101B-9397-08002B2CF9AE}" pid="4" name="KSOTemplateDocerSaveRecord">
    <vt:lpwstr>eyJoZGlkIjoiZGNjMTU5MzI1NGEyZDA4ZmU0OTYxMTMyNTk2ZDAyOGUifQ==</vt:lpwstr>
  </property>
</Properties>
</file>