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8C6A">
      <w:pPr>
        <w:spacing w:line="240" w:lineRule="auto"/>
        <w:rPr>
          <w:color w:val="auto"/>
          <w:highlight w:val="none"/>
        </w:rPr>
      </w:pPr>
    </w:p>
    <w:p w14:paraId="2E814150">
      <w:pPr>
        <w:spacing w:line="240" w:lineRule="auto"/>
        <w:rPr>
          <w:color w:val="auto"/>
          <w:highlight w:val="none"/>
        </w:rPr>
      </w:pPr>
    </w:p>
    <w:p w14:paraId="06FD1904">
      <w:pPr>
        <w:spacing w:line="240" w:lineRule="auto"/>
        <w:rPr>
          <w:color w:val="auto"/>
          <w:highlight w:val="none"/>
        </w:rPr>
      </w:pPr>
    </w:p>
    <w:p w14:paraId="7E228819">
      <w:pPr>
        <w:spacing w:line="240" w:lineRule="auto"/>
        <w:rPr>
          <w:color w:val="auto"/>
          <w:highlight w:val="none"/>
        </w:rPr>
      </w:pPr>
    </w:p>
    <w:p w14:paraId="51C401B5">
      <w:pPr>
        <w:spacing w:line="240" w:lineRule="auto"/>
        <w:rPr>
          <w:color w:val="auto"/>
          <w:highlight w:val="none"/>
        </w:rPr>
      </w:pPr>
    </w:p>
    <w:p w14:paraId="27A76698">
      <w:pPr>
        <w:spacing w:line="24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招标编号：</w:t>
      </w:r>
      <w:r>
        <w:rPr>
          <w:rFonts w:hint="eastAsia" w:ascii="宋体" w:hAnsi="宋体" w:eastAsia="宋体" w:cs="宋体"/>
          <w:b/>
          <w:bCs/>
          <w:color w:val="auto"/>
          <w:sz w:val="28"/>
          <w:szCs w:val="28"/>
          <w:highlight w:val="none"/>
          <w:lang w:eastAsia="zh-CN"/>
        </w:rPr>
        <w:t>SCMX-SC-2024-1082</w:t>
      </w:r>
    </w:p>
    <w:p w14:paraId="0E418290">
      <w:pPr>
        <w:spacing w:line="240" w:lineRule="auto"/>
        <w:rPr>
          <w:color w:val="auto"/>
          <w:highlight w:val="none"/>
        </w:rPr>
      </w:pPr>
    </w:p>
    <w:p w14:paraId="2F02420C">
      <w:pPr>
        <w:spacing w:line="240" w:lineRule="auto"/>
        <w:rPr>
          <w:color w:val="auto"/>
          <w:highlight w:val="none"/>
        </w:rPr>
      </w:pPr>
    </w:p>
    <w:p w14:paraId="06E0F7E4">
      <w:pPr>
        <w:spacing w:line="240" w:lineRule="auto"/>
        <w:jc w:val="center"/>
        <w:rPr>
          <w:rFonts w:ascii="宋体" w:hAnsi="宋体" w:eastAsia="宋体" w:cs="宋体"/>
          <w:color w:val="auto"/>
          <w:spacing w:val="16"/>
          <w:sz w:val="47"/>
          <w:szCs w:val="47"/>
          <w:highlight w:val="none"/>
          <w14:textOutline w14:w="8712" w14:cap="sq" w14:cmpd="sng" w14:algn="ctr">
            <w14:solidFill>
              <w14:srgbClr w14:val="000000"/>
            </w14:solidFill>
            <w14:prstDash w14:val="solid"/>
            <w14:bevel/>
          </w14:textOutline>
        </w:rPr>
      </w:pPr>
    </w:p>
    <w:p w14:paraId="2D2ED1D1">
      <w:pPr>
        <w:spacing w:line="240" w:lineRule="auto"/>
        <w:ind w:firstLine="883" w:firstLineChars="20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成都市技师学院（成都工贸职业技术学院）路桥工程施工技术仿真系统采购项目</w:t>
      </w:r>
    </w:p>
    <w:p w14:paraId="03B7929E">
      <w:pPr>
        <w:spacing w:line="240" w:lineRule="auto"/>
        <w:rPr>
          <w:color w:val="auto"/>
          <w:highlight w:val="none"/>
        </w:rPr>
      </w:pPr>
    </w:p>
    <w:p w14:paraId="017B2239">
      <w:pPr>
        <w:spacing w:line="240" w:lineRule="auto"/>
        <w:rPr>
          <w:color w:val="auto"/>
          <w:highlight w:val="none"/>
        </w:rPr>
      </w:pPr>
    </w:p>
    <w:p w14:paraId="5B324B74">
      <w:pPr>
        <w:spacing w:line="240" w:lineRule="auto"/>
        <w:rPr>
          <w:color w:val="auto"/>
          <w:highlight w:val="none"/>
        </w:rPr>
      </w:pPr>
    </w:p>
    <w:p w14:paraId="340F077E">
      <w:pPr>
        <w:spacing w:line="240" w:lineRule="auto"/>
        <w:rPr>
          <w:color w:val="auto"/>
          <w:highlight w:val="none"/>
        </w:rPr>
      </w:pPr>
    </w:p>
    <w:p w14:paraId="776DB36F">
      <w:pPr>
        <w:spacing w:line="240" w:lineRule="auto"/>
        <w:rPr>
          <w:color w:val="auto"/>
          <w:highlight w:val="none"/>
        </w:rPr>
      </w:pPr>
    </w:p>
    <w:p w14:paraId="3911EC1C">
      <w:pPr>
        <w:spacing w:line="240" w:lineRule="auto"/>
        <w:rPr>
          <w:color w:val="auto"/>
          <w:highlight w:val="none"/>
        </w:rPr>
      </w:pPr>
    </w:p>
    <w:p w14:paraId="1F33CE98">
      <w:pPr>
        <w:spacing w:line="240" w:lineRule="auto"/>
        <w:jc w:val="center"/>
        <w:rPr>
          <w:rFonts w:hint="eastAsia" w:eastAsia="宋体"/>
          <w:b/>
          <w:bCs/>
          <w:color w:val="auto"/>
          <w:sz w:val="72"/>
          <w:szCs w:val="72"/>
          <w:highlight w:val="none"/>
          <w:lang w:val="en-US" w:eastAsia="zh-CN"/>
        </w:rPr>
      </w:pPr>
      <w:r>
        <w:rPr>
          <w:rFonts w:hint="eastAsia" w:eastAsia="宋体"/>
          <w:b/>
          <w:bCs/>
          <w:color w:val="auto"/>
          <w:sz w:val="72"/>
          <w:szCs w:val="72"/>
          <w:highlight w:val="none"/>
          <w:lang w:val="en-US" w:eastAsia="zh-CN"/>
        </w:rPr>
        <w:t>招标文件</w:t>
      </w:r>
    </w:p>
    <w:p w14:paraId="643489AD">
      <w:pPr>
        <w:spacing w:line="240" w:lineRule="auto"/>
        <w:rPr>
          <w:color w:val="auto"/>
          <w:highlight w:val="none"/>
        </w:rPr>
      </w:pPr>
    </w:p>
    <w:p w14:paraId="650C34C7">
      <w:pPr>
        <w:spacing w:line="240" w:lineRule="auto"/>
        <w:rPr>
          <w:color w:val="auto"/>
          <w:highlight w:val="none"/>
        </w:rPr>
      </w:pPr>
    </w:p>
    <w:p w14:paraId="6A7DC1F3">
      <w:pPr>
        <w:spacing w:line="240" w:lineRule="auto"/>
        <w:rPr>
          <w:color w:val="auto"/>
          <w:highlight w:val="none"/>
        </w:rPr>
      </w:pPr>
    </w:p>
    <w:p w14:paraId="5FC9F9CF">
      <w:pPr>
        <w:spacing w:line="240" w:lineRule="auto"/>
        <w:rPr>
          <w:color w:val="auto"/>
          <w:highlight w:val="none"/>
        </w:rPr>
      </w:pPr>
    </w:p>
    <w:p w14:paraId="4DEFE486">
      <w:pPr>
        <w:spacing w:line="240" w:lineRule="auto"/>
        <w:rPr>
          <w:color w:val="auto"/>
          <w:highlight w:val="none"/>
        </w:rPr>
      </w:pPr>
    </w:p>
    <w:p w14:paraId="465535C6">
      <w:pPr>
        <w:spacing w:line="240" w:lineRule="auto"/>
        <w:rPr>
          <w:color w:val="auto"/>
          <w:highlight w:val="none"/>
        </w:rPr>
      </w:pPr>
    </w:p>
    <w:p w14:paraId="585C07A1">
      <w:pPr>
        <w:spacing w:line="240" w:lineRule="auto"/>
        <w:rPr>
          <w:color w:val="auto"/>
          <w:highlight w:val="none"/>
        </w:rPr>
      </w:pPr>
    </w:p>
    <w:p w14:paraId="6ED13541">
      <w:pPr>
        <w:spacing w:line="240" w:lineRule="auto"/>
        <w:rPr>
          <w:color w:val="auto"/>
          <w:highlight w:val="none"/>
        </w:rPr>
      </w:pPr>
    </w:p>
    <w:p w14:paraId="6E651181">
      <w:pPr>
        <w:spacing w:line="240" w:lineRule="auto"/>
        <w:rPr>
          <w:color w:val="auto"/>
          <w:highlight w:val="none"/>
        </w:rPr>
      </w:pPr>
    </w:p>
    <w:p w14:paraId="6C85BC0C">
      <w:pPr>
        <w:spacing w:line="240" w:lineRule="auto"/>
        <w:rPr>
          <w:color w:val="auto"/>
          <w:highlight w:val="none"/>
        </w:rPr>
      </w:pPr>
    </w:p>
    <w:p w14:paraId="1CDEA5A0">
      <w:pPr>
        <w:spacing w:line="240" w:lineRule="auto"/>
        <w:rPr>
          <w:color w:val="auto"/>
          <w:highlight w:val="none"/>
        </w:rPr>
      </w:pPr>
    </w:p>
    <w:p w14:paraId="18DC14AE">
      <w:pPr>
        <w:spacing w:line="240" w:lineRule="auto"/>
        <w:rPr>
          <w:color w:val="auto"/>
          <w:highlight w:val="none"/>
        </w:rPr>
      </w:pPr>
    </w:p>
    <w:p w14:paraId="3448A9CA">
      <w:pPr>
        <w:spacing w:line="240" w:lineRule="auto"/>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四川</w:t>
      </w:r>
      <w:r>
        <w:rPr>
          <w:rFonts w:hint="eastAsia" w:ascii="宋体" w:hAnsi="宋体" w:eastAsia="宋体" w:cs="宋体"/>
          <w:b/>
          <w:bCs/>
          <w:color w:val="auto"/>
          <w:sz w:val="28"/>
          <w:szCs w:val="28"/>
          <w:highlight w:val="none"/>
        </w:rPr>
        <w:t xml:space="preserve"> · </w:t>
      </w:r>
      <w:r>
        <w:rPr>
          <w:rFonts w:hint="eastAsia" w:ascii="宋体" w:hAnsi="宋体" w:eastAsia="宋体" w:cs="宋体"/>
          <w:b/>
          <w:bCs/>
          <w:color w:val="auto"/>
          <w:sz w:val="28"/>
          <w:szCs w:val="28"/>
          <w:highlight w:val="none"/>
          <w:lang w:eastAsia="zh-CN"/>
        </w:rPr>
        <w:t>成都</w:t>
      </w:r>
    </w:p>
    <w:p w14:paraId="6C0089C2">
      <w:pPr>
        <w:spacing w:line="240" w:lineRule="auto"/>
        <w:ind w:firstLine="1687" w:firstLineChars="600"/>
        <w:jc w:val="both"/>
        <w:rPr>
          <w:rFonts w:hint="eastAsia" w:ascii="宋体" w:hAnsi="宋体" w:eastAsia="宋体" w:cs="宋体"/>
          <w:b/>
          <w:bCs/>
          <w:color w:val="auto"/>
          <w:sz w:val="28"/>
          <w:szCs w:val="28"/>
          <w:highlight w:val="none"/>
          <w:lang w:eastAsia="zh-CN"/>
        </w:rPr>
      </w:pPr>
      <w:bookmarkStart w:id="0" w:name="_Toc21667"/>
      <w:r>
        <w:rPr>
          <w:rFonts w:hint="eastAsia" w:ascii="宋体" w:hAnsi="宋体" w:eastAsia="宋体" w:cs="宋体"/>
          <w:b/>
          <w:bCs/>
          <w:color w:val="auto"/>
          <w:sz w:val="28"/>
          <w:szCs w:val="28"/>
          <w:highlight w:val="none"/>
        </w:rPr>
        <w:t>招标人：</w:t>
      </w:r>
      <w:bookmarkEnd w:id="0"/>
      <w:r>
        <w:rPr>
          <w:rFonts w:hint="eastAsia" w:ascii="宋体" w:hAnsi="宋体" w:eastAsia="宋体" w:cs="宋体"/>
          <w:b/>
          <w:bCs/>
          <w:color w:val="auto"/>
          <w:sz w:val="28"/>
          <w:szCs w:val="28"/>
          <w:highlight w:val="none"/>
          <w:lang w:eastAsia="zh-CN"/>
        </w:rPr>
        <w:t>成都市技师学院（成都工贸职业技术学院）</w:t>
      </w:r>
    </w:p>
    <w:p w14:paraId="06DEE661">
      <w:pPr>
        <w:spacing w:line="240" w:lineRule="auto"/>
        <w:jc w:val="center"/>
        <w:rPr>
          <w:rFonts w:hint="default" w:ascii="宋体" w:hAnsi="宋体" w:eastAsia="宋体" w:cs="宋体"/>
          <w:b/>
          <w:bCs/>
          <w:color w:val="auto"/>
          <w:sz w:val="28"/>
          <w:szCs w:val="28"/>
          <w:highlight w:val="none"/>
          <w:lang w:val="en-US" w:eastAsia="zh-CN"/>
        </w:rPr>
      </w:pPr>
      <w:bookmarkStart w:id="1" w:name="_Toc8024"/>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招标代理机构：</w:t>
      </w:r>
      <w:bookmarkEnd w:id="1"/>
      <w:r>
        <w:rPr>
          <w:rFonts w:hint="eastAsia" w:ascii="宋体" w:hAnsi="宋体" w:eastAsia="宋体" w:cs="宋体"/>
          <w:b/>
          <w:bCs/>
          <w:color w:val="auto"/>
          <w:sz w:val="28"/>
          <w:szCs w:val="28"/>
          <w:highlight w:val="none"/>
          <w:lang w:val="en-US" w:eastAsia="zh-CN"/>
        </w:rPr>
        <w:t>四川铭信工程招标咨询有限公司</w:t>
      </w:r>
    </w:p>
    <w:p w14:paraId="409EE816">
      <w:pPr>
        <w:spacing w:line="24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共同编制</w:t>
      </w:r>
    </w:p>
    <w:p w14:paraId="36108BDA">
      <w:pPr>
        <w:spacing w:line="240" w:lineRule="auto"/>
        <w:ind w:firstLine="562" w:firstLineChars="200"/>
        <w:jc w:val="center"/>
        <w:rPr>
          <w:color w:val="auto"/>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月</w:t>
      </w:r>
    </w:p>
    <w:p w14:paraId="01C56064">
      <w:pPr>
        <w:spacing w:line="240" w:lineRule="auto"/>
        <w:rPr>
          <w:color w:val="auto"/>
          <w:highlight w:val="none"/>
        </w:rPr>
      </w:pPr>
    </w:p>
    <w:sdt>
      <w:sdtPr>
        <w:rPr>
          <w:rFonts w:ascii="宋体" w:hAnsi="宋体" w:eastAsia="宋体"/>
          <w:color w:val="auto"/>
          <w:sz w:val="36"/>
          <w:szCs w:val="36"/>
          <w:highlight w:val="none"/>
        </w:rPr>
        <w:id w:val="147468591"/>
        <w15:color w:val="DBDBDB"/>
        <w:docPartObj>
          <w:docPartGallery w:val="Table of Contents"/>
          <w:docPartUnique/>
        </w:docPartObj>
      </w:sdtPr>
      <w:sdtEndPr>
        <w:rPr>
          <w:rFonts w:ascii="Arial" w:hAnsi="Arial" w:eastAsia="Arial"/>
          <w:color w:val="auto"/>
          <w:sz w:val="21"/>
          <w:szCs w:val="21"/>
          <w:highlight w:val="none"/>
        </w:rPr>
      </w:sdtEndPr>
      <w:sdtContent>
        <w:p w14:paraId="5E023E37">
          <w:pPr>
            <w:spacing w:line="240" w:lineRule="auto"/>
            <w:jc w:val="center"/>
            <w:rPr>
              <w:rFonts w:ascii="宋体" w:hAnsi="宋体" w:eastAsia="宋体"/>
              <w:color w:val="auto"/>
              <w:sz w:val="36"/>
              <w:szCs w:val="36"/>
              <w:highlight w:val="none"/>
            </w:rPr>
          </w:pPr>
        </w:p>
        <w:p w14:paraId="22B68855">
          <w:pPr>
            <w:spacing w:line="240" w:lineRule="auto"/>
            <w:jc w:val="center"/>
            <w:rPr>
              <w:rFonts w:ascii="宋体" w:hAnsi="宋体" w:eastAsia="宋体"/>
              <w:color w:val="auto"/>
              <w:sz w:val="36"/>
              <w:szCs w:val="36"/>
              <w:highlight w:val="none"/>
            </w:rPr>
            <w:sectPr>
              <w:pgSz w:w="11905" w:h="16838"/>
              <w:pgMar w:top="1417" w:right="1417" w:bottom="1417" w:left="1417" w:header="0" w:footer="1134" w:gutter="0"/>
              <w:cols w:space="425" w:num="1"/>
            </w:sectPr>
          </w:pPr>
        </w:p>
        <w:p w14:paraId="0F972092">
          <w:pPr>
            <w:spacing w:line="240" w:lineRule="auto"/>
            <w:jc w:val="center"/>
            <w:rPr>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rPr>
            <w:t xml:space="preserve">  </w:t>
          </w:r>
          <w:r>
            <w:rPr>
              <w:rFonts w:ascii="宋体" w:hAnsi="宋体" w:eastAsia="宋体"/>
              <w:color w:val="auto"/>
              <w:sz w:val="36"/>
              <w:szCs w:val="36"/>
              <w:highlight w:val="none"/>
            </w:rPr>
            <w:t>录</w:t>
          </w:r>
        </w:p>
        <w:p w14:paraId="3462D849">
          <w:pPr>
            <w:pStyle w:val="13"/>
            <w:tabs>
              <w:tab w:val="right" w:leader="dot" w:pos="9071"/>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_Toc3463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spacing w:val="8"/>
              <w:szCs w:val="36"/>
              <w:highlight w:val="none"/>
            </w:rPr>
            <w:t xml:space="preserve">  </w:t>
          </w:r>
          <w:r>
            <w:rPr>
              <w:rFonts w:hint="eastAsia" w:ascii="宋体" w:hAnsi="宋体" w:eastAsia="宋体" w:cs="宋体"/>
              <w:spacing w:val="8"/>
              <w:szCs w:val="36"/>
              <w:highlight w:val="none"/>
              <w14:textOutline w14:w="6540" w14:cap="sq" w14:cmpd="sng" w14:algn="ctr">
                <w14:solidFill>
                  <w14:srgbClr w14:val="000000"/>
                </w14:solidFill>
                <w14:prstDash w14:val="solid"/>
                <w14:bevel/>
              </w14:textOutline>
            </w:rPr>
            <w:t>投标邀请</w:t>
          </w:r>
          <w:r>
            <w:tab/>
          </w:r>
          <w:r>
            <w:fldChar w:fldCharType="begin"/>
          </w:r>
          <w:r>
            <w:instrText xml:space="preserve"> PAGEREF _Toc3463 \h </w:instrText>
          </w:r>
          <w:r>
            <w:fldChar w:fldCharType="separate"/>
          </w:r>
          <w:r>
            <w:t>1</w:t>
          </w:r>
          <w:r>
            <w:fldChar w:fldCharType="end"/>
          </w:r>
          <w:r>
            <w:rPr>
              <w:color w:val="auto"/>
              <w:highlight w:val="none"/>
            </w:rPr>
            <w:fldChar w:fldCharType="end"/>
          </w:r>
        </w:p>
        <w:p w14:paraId="61C251FE">
          <w:pPr>
            <w:pStyle w:val="13"/>
            <w:tabs>
              <w:tab w:val="right" w:leader="dot" w:pos="9071"/>
            </w:tabs>
          </w:pPr>
          <w:r>
            <w:rPr>
              <w:color w:val="auto"/>
              <w:highlight w:val="none"/>
            </w:rPr>
            <w:fldChar w:fldCharType="begin"/>
          </w:r>
          <w:r>
            <w:rPr>
              <w:highlight w:val="none"/>
            </w:rPr>
            <w:instrText xml:space="preserve"> HYPERLINK \l _Toc2059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第二章  投标人须知</w:t>
          </w:r>
          <w:r>
            <w:tab/>
          </w:r>
          <w:r>
            <w:fldChar w:fldCharType="begin"/>
          </w:r>
          <w:r>
            <w:instrText xml:space="preserve"> PAGEREF _Toc2059 \h </w:instrText>
          </w:r>
          <w:r>
            <w:fldChar w:fldCharType="separate"/>
          </w:r>
          <w:r>
            <w:t>3</w:t>
          </w:r>
          <w:r>
            <w:fldChar w:fldCharType="end"/>
          </w:r>
          <w:r>
            <w:rPr>
              <w:color w:val="auto"/>
              <w:highlight w:val="none"/>
            </w:rPr>
            <w:fldChar w:fldCharType="end"/>
          </w:r>
        </w:p>
        <w:p w14:paraId="0E5AA946">
          <w:pPr>
            <w:pStyle w:val="14"/>
            <w:tabs>
              <w:tab w:val="right" w:leader="dot" w:pos="9071"/>
            </w:tabs>
          </w:pPr>
          <w:r>
            <w:rPr>
              <w:color w:val="auto"/>
              <w:highlight w:val="none"/>
            </w:rPr>
            <w:fldChar w:fldCharType="begin"/>
          </w:r>
          <w:r>
            <w:rPr>
              <w:highlight w:val="none"/>
            </w:rPr>
            <w:instrText xml:space="preserve"> HYPERLINK \l _Toc30521 </w:instrText>
          </w:r>
          <w:r>
            <w:rPr>
              <w:highlight w:val="none"/>
            </w:rPr>
            <w:fldChar w:fldCharType="separate"/>
          </w:r>
          <w:r>
            <w:rPr>
              <w:rFonts w:hint="eastAsia" w:ascii="宋体" w:hAnsi="宋体" w:eastAsia="宋体" w:cs="宋体"/>
              <w:bCs/>
              <w:szCs w:val="31"/>
              <w:highlight w:val="none"/>
            </w:rPr>
            <w:t>一、投标人须知附表</w:t>
          </w:r>
          <w:r>
            <w:tab/>
          </w:r>
          <w:r>
            <w:fldChar w:fldCharType="begin"/>
          </w:r>
          <w:r>
            <w:instrText xml:space="preserve"> PAGEREF _Toc30521 \h </w:instrText>
          </w:r>
          <w:r>
            <w:fldChar w:fldCharType="separate"/>
          </w:r>
          <w:r>
            <w:t>3</w:t>
          </w:r>
          <w:r>
            <w:fldChar w:fldCharType="end"/>
          </w:r>
          <w:r>
            <w:rPr>
              <w:color w:val="auto"/>
              <w:highlight w:val="none"/>
            </w:rPr>
            <w:fldChar w:fldCharType="end"/>
          </w:r>
        </w:p>
        <w:p w14:paraId="613FDA40">
          <w:pPr>
            <w:pStyle w:val="14"/>
            <w:tabs>
              <w:tab w:val="right" w:leader="dot" w:pos="9071"/>
            </w:tabs>
          </w:pPr>
          <w:r>
            <w:rPr>
              <w:color w:val="auto"/>
              <w:highlight w:val="none"/>
            </w:rPr>
            <w:fldChar w:fldCharType="begin"/>
          </w:r>
          <w:r>
            <w:rPr>
              <w:highlight w:val="none"/>
            </w:rPr>
            <w:instrText xml:space="preserve"> HYPERLINK \l _Toc12017 </w:instrText>
          </w:r>
          <w:r>
            <w:rPr>
              <w:highlight w:val="none"/>
            </w:rPr>
            <w:fldChar w:fldCharType="separate"/>
          </w:r>
          <w:r>
            <w:rPr>
              <w:rFonts w:hint="eastAsia" w:ascii="宋体" w:hAnsi="宋体" w:eastAsia="宋体" w:cs="宋体"/>
              <w:bCs/>
              <w:szCs w:val="31"/>
              <w:highlight w:val="none"/>
            </w:rPr>
            <w:t>二 、 总  则</w:t>
          </w:r>
          <w:r>
            <w:tab/>
          </w:r>
          <w:r>
            <w:fldChar w:fldCharType="begin"/>
          </w:r>
          <w:r>
            <w:instrText xml:space="preserve"> PAGEREF _Toc12017 \h </w:instrText>
          </w:r>
          <w:r>
            <w:fldChar w:fldCharType="separate"/>
          </w:r>
          <w:r>
            <w:t>6</w:t>
          </w:r>
          <w:r>
            <w:fldChar w:fldCharType="end"/>
          </w:r>
          <w:r>
            <w:rPr>
              <w:color w:val="auto"/>
              <w:highlight w:val="none"/>
            </w:rPr>
            <w:fldChar w:fldCharType="end"/>
          </w:r>
        </w:p>
        <w:p w14:paraId="7965F435">
          <w:pPr>
            <w:pStyle w:val="14"/>
            <w:tabs>
              <w:tab w:val="right" w:leader="dot" w:pos="9071"/>
            </w:tabs>
          </w:pPr>
          <w:r>
            <w:rPr>
              <w:color w:val="auto"/>
              <w:highlight w:val="none"/>
            </w:rPr>
            <w:fldChar w:fldCharType="begin"/>
          </w:r>
          <w:r>
            <w:rPr>
              <w:highlight w:val="none"/>
            </w:rPr>
            <w:instrText xml:space="preserve"> HYPERLINK \l _Toc21423 </w:instrText>
          </w:r>
          <w:r>
            <w:rPr>
              <w:highlight w:val="none"/>
            </w:rPr>
            <w:fldChar w:fldCharType="separate"/>
          </w:r>
          <w:r>
            <w:rPr>
              <w:rFonts w:hint="eastAsia" w:ascii="宋体" w:hAnsi="宋体" w:eastAsia="宋体" w:cs="宋体"/>
              <w:bCs/>
              <w:szCs w:val="31"/>
              <w:highlight w:val="none"/>
            </w:rPr>
            <w:t>三、招标文件</w:t>
          </w:r>
          <w:r>
            <w:tab/>
          </w:r>
          <w:r>
            <w:fldChar w:fldCharType="begin"/>
          </w:r>
          <w:r>
            <w:instrText xml:space="preserve"> PAGEREF _Toc21423 \h </w:instrText>
          </w:r>
          <w:r>
            <w:fldChar w:fldCharType="separate"/>
          </w:r>
          <w:r>
            <w:t>7</w:t>
          </w:r>
          <w:r>
            <w:fldChar w:fldCharType="end"/>
          </w:r>
          <w:r>
            <w:rPr>
              <w:color w:val="auto"/>
              <w:highlight w:val="none"/>
            </w:rPr>
            <w:fldChar w:fldCharType="end"/>
          </w:r>
        </w:p>
        <w:p w14:paraId="585DE105">
          <w:pPr>
            <w:pStyle w:val="14"/>
            <w:tabs>
              <w:tab w:val="right" w:leader="dot" w:pos="9071"/>
            </w:tabs>
          </w:pPr>
          <w:r>
            <w:rPr>
              <w:color w:val="auto"/>
              <w:highlight w:val="none"/>
            </w:rPr>
            <w:fldChar w:fldCharType="begin"/>
          </w:r>
          <w:r>
            <w:rPr>
              <w:highlight w:val="none"/>
            </w:rPr>
            <w:instrText xml:space="preserve"> HYPERLINK \l _Toc11956 </w:instrText>
          </w:r>
          <w:r>
            <w:rPr>
              <w:highlight w:val="none"/>
            </w:rPr>
            <w:fldChar w:fldCharType="separate"/>
          </w:r>
          <w:r>
            <w:rPr>
              <w:rFonts w:hint="eastAsia" w:ascii="宋体" w:hAnsi="宋体" w:eastAsia="宋体" w:cs="宋体"/>
              <w:bCs/>
              <w:szCs w:val="31"/>
              <w:highlight w:val="none"/>
            </w:rPr>
            <w:t>四、投标文件</w:t>
          </w:r>
          <w:r>
            <w:tab/>
          </w:r>
          <w:r>
            <w:fldChar w:fldCharType="begin"/>
          </w:r>
          <w:r>
            <w:instrText xml:space="preserve"> PAGEREF _Toc11956 \h </w:instrText>
          </w:r>
          <w:r>
            <w:fldChar w:fldCharType="separate"/>
          </w:r>
          <w:r>
            <w:t>8</w:t>
          </w:r>
          <w:r>
            <w:fldChar w:fldCharType="end"/>
          </w:r>
          <w:r>
            <w:rPr>
              <w:color w:val="auto"/>
              <w:highlight w:val="none"/>
            </w:rPr>
            <w:fldChar w:fldCharType="end"/>
          </w:r>
        </w:p>
        <w:p w14:paraId="5842E657">
          <w:pPr>
            <w:pStyle w:val="14"/>
            <w:tabs>
              <w:tab w:val="right" w:leader="dot" w:pos="9071"/>
            </w:tabs>
          </w:pPr>
          <w:r>
            <w:rPr>
              <w:color w:val="auto"/>
              <w:highlight w:val="none"/>
            </w:rPr>
            <w:fldChar w:fldCharType="begin"/>
          </w:r>
          <w:r>
            <w:rPr>
              <w:highlight w:val="none"/>
            </w:rPr>
            <w:instrText xml:space="preserve"> HYPERLINK \l _Toc31519 </w:instrText>
          </w:r>
          <w:r>
            <w:rPr>
              <w:highlight w:val="none"/>
            </w:rPr>
            <w:fldChar w:fldCharType="separate"/>
          </w:r>
          <w:r>
            <w:rPr>
              <w:rFonts w:hint="eastAsia" w:ascii="宋体" w:hAnsi="宋体" w:eastAsia="宋体" w:cs="宋体"/>
              <w:bCs/>
              <w:szCs w:val="31"/>
              <w:highlight w:val="none"/>
            </w:rPr>
            <w:t>五、开标和中标</w:t>
          </w:r>
          <w:r>
            <w:tab/>
          </w:r>
          <w:r>
            <w:fldChar w:fldCharType="begin"/>
          </w:r>
          <w:r>
            <w:instrText xml:space="preserve"> PAGEREF _Toc31519 \h </w:instrText>
          </w:r>
          <w:r>
            <w:fldChar w:fldCharType="separate"/>
          </w:r>
          <w:r>
            <w:t>11</w:t>
          </w:r>
          <w:r>
            <w:fldChar w:fldCharType="end"/>
          </w:r>
          <w:r>
            <w:rPr>
              <w:color w:val="auto"/>
              <w:highlight w:val="none"/>
            </w:rPr>
            <w:fldChar w:fldCharType="end"/>
          </w:r>
        </w:p>
        <w:p w14:paraId="566E001F">
          <w:pPr>
            <w:pStyle w:val="14"/>
            <w:tabs>
              <w:tab w:val="right" w:leader="dot" w:pos="9071"/>
            </w:tabs>
          </w:pPr>
          <w:r>
            <w:rPr>
              <w:color w:val="auto"/>
              <w:highlight w:val="none"/>
            </w:rPr>
            <w:fldChar w:fldCharType="begin"/>
          </w:r>
          <w:r>
            <w:rPr>
              <w:highlight w:val="none"/>
            </w:rPr>
            <w:instrText xml:space="preserve"> HYPERLINK \l _Toc4574 </w:instrText>
          </w:r>
          <w:r>
            <w:rPr>
              <w:highlight w:val="none"/>
            </w:rPr>
            <w:fldChar w:fldCharType="separate"/>
          </w:r>
          <w:r>
            <w:rPr>
              <w:rFonts w:hint="eastAsia" w:ascii="宋体" w:hAnsi="宋体" w:eastAsia="宋体" w:cs="宋体"/>
              <w:bCs/>
              <w:szCs w:val="31"/>
              <w:highlight w:val="none"/>
            </w:rPr>
            <w:t>六、签订及履行合同和验收</w:t>
          </w:r>
          <w:r>
            <w:tab/>
          </w:r>
          <w:r>
            <w:fldChar w:fldCharType="begin"/>
          </w:r>
          <w:r>
            <w:instrText xml:space="preserve"> PAGEREF _Toc4574 \h </w:instrText>
          </w:r>
          <w:r>
            <w:fldChar w:fldCharType="separate"/>
          </w:r>
          <w:r>
            <w:t>13</w:t>
          </w:r>
          <w:r>
            <w:fldChar w:fldCharType="end"/>
          </w:r>
          <w:r>
            <w:rPr>
              <w:color w:val="auto"/>
              <w:highlight w:val="none"/>
            </w:rPr>
            <w:fldChar w:fldCharType="end"/>
          </w:r>
        </w:p>
        <w:p w14:paraId="00E9390A">
          <w:pPr>
            <w:pStyle w:val="14"/>
            <w:tabs>
              <w:tab w:val="right" w:leader="dot" w:pos="9071"/>
            </w:tabs>
          </w:pPr>
          <w:r>
            <w:rPr>
              <w:color w:val="auto"/>
              <w:highlight w:val="none"/>
            </w:rPr>
            <w:fldChar w:fldCharType="begin"/>
          </w:r>
          <w:r>
            <w:rPr>
              <w:highlight w:val="none"/>
            </w:rPr>
            <w:instrText xml:space="preserve"> HYPERLINK \l _Toc23630 </w:instrText>
          </w:r>
          <w:r>
            <w:rPr>
              <w:highlight w:val="none"/>
            </w:rPr>
            <w:fldChar w:fldCharType="separate"/>
          </w:r>
          <w:r>
            <w:rPr>
              <w:rFonts w:hint="eastAsia" w:ascii="宋体" w:hAnsi="宋体" w:eastAsia="宋体" w:cs="宋体"/>
              <w:bCs/>
              <w:szCs w:val="31"/>
              <w:highlight w:val="none"/>
            </w:rPr>
            <w:t>七、投标纪律要求</w:t>
          </w:r>
          <w:r>
            <w:tab/>
          </w:r>
          <w:r>
            <w:fldChar w:fldCharType="begin"/>
          </w:r>
          <w:r>
            <w:instrText xml:space="preserve"> PAGEREF _Toc23630 \h </w:instrText>
          </w:r>
          <w:r>
            <w:fldChar w:fldCharType="separate"/>
          </w:r>
          <w:r>
            <w:t>14</w:t>
          </w:r>
          <w:r>
            <w:fldChar w:fldCharType="end"/>
          </w:r>
          <w:r>
            <w:rPr>
              <w:color w:val="auto"/>
              <w:highlight w:val="none"/>
            </w:rPr>
            <w:fldChar w:fldCharType="end"/>
          </w:r>
        </w:p>
        <w:p w14:paraId="68EDB07F">
          <w:pPr>
            <w:pStyle w:val="14"/>
            <w:tabs>
              <w:tab w:val="right" w:leader="dot" w:pos="9071"/>
            </w:tabs>
          </w:pPr>
          <w:r>
            <w:rPr>
              <w:color w:val="auto"/>
              <w:highlight w:val="none"/>
            </w:rPr>
            <w:fldChar w:fldCharType="begin"/>
          </w:r>
          <w:r>
            <w:rPr>
              <w:highlight w:val="none"/>
            </w:rPr>
            <w:instrText xml:space="preserve"> HYPERLINK \l _Toc2277 </w:instrText>
          </w:r>
          <w:r>
            <w:rPr>
              <w:highlight w:val="none"/>
            </w:rPr>
            <w:fldChar w:fldCharType="separate"/>
          </w:r>
          <w:r>
            <w:rPr>
              <w:rFonts w:hint="eastAsia" w:ascii="宋体" w:hAnsi="宋体" w:eastAsia="宋体" w:cs="宋体"/>
              <w:bCs/>
              <w:szCs w:val="31"/>
              <w:highlight w:val="none"/>
            </w:rPr>
            <w:t>八、询问、质疑和投诉</w:t>
          </w:r>
          <w:r>
            <w:tab/>
          </w:r>
          <w:r>
            <w:fldChar w:fldCharType="begin"/>
          </w:r>
          <w:r>
            <w:instrText xml:space="preserve"> PAGEREF _Toc2277 \h </w:instrText>
          </w:r>
          <w:r>
            <w:fldChar w:fldCharType="separate"/>
          </w:r>
          <w:r>
            <w:t>14</w:t>
          </w:r>
          <w:r>
            <w:fldChar w:fldCharType="end"/>
          </w:r>
          <w:r>
            <w:rPr>
              <w:color w:val="auto"/>
              <w:highlight w:val="none"/>
            </w:rPr>
            <w:fldChar w:fldCharType="end"/>
          </w:r>
        </w:p>
        <w:p w14:paraId="1DC26FE6">
          <w:pPr>
            <w:pStyle w:val="14"/>
            <w:tabs>
              <w:tab w:val="right" w:leader="dot" w:pos="9071"/>
            </w:tabs>
          </w:pPr>
          <w:r>
            <w:rPr>
              <w:color w:val="auto"/>
              <w:highlight w:val="none"/>
            </w:rPr>
            <w:fldChar w:fldCharType="begin"/>
          </w:r>
          <w:r>
            <w:rPr>
              <w:highlight w:val="none"/>
            </w:rPr>
            <w:instrText xml:space="preserve"> HYPERLINK \l _Toc30615 </w:instrText>
          </w:r>
          <w:r>
            <w:rPr>
              <w:highlight w:val="none"/>
            </w:rPr>
            <w:fldChar w:fldCharType="separate"/>
          </w:r>
          <w:r>
            <w:rPr>
              <w:rFonts w:hint="eastAsia" w:ascii="宋体" w:hAnsi="宋体" w:eastAsia="宋体" w:cs="宋体"/>
              <w:bCs/>
              <w:szCs w:val="31"/>
              <w:highlight w:val="none"/>
            </w:rPr>
            <w:t>九、其他</w:t>
          </w:r>
          <w:r>
            <w:tab/>
          </w:r>
          <w:r>
            <w:fldChar w:fldCharType="begin"/>
          </w:r>
          <w:r>
            <w:instrText xml:space="preserve"> PAGEREF _Toc30615 \h </w:instrText>
          </w:r>
          <w:r>
            <w:fldChar w:fldCharType="separate"/>
          </w:r>
          <w:r>
            <w:t>14</w:t>
          </w:r>
          <w:r>
            <w:fldChar w:fldCharType="end"/>
          </w:r>
          <w:r>
            <w:rPr>
              <w:color w:val="auto"/>
              <w:highlight w:val="none"/>
            </w:rPr>
            <w:fldChar w:fldCharType="end"/>
          </w:r>
        </w:p>
        <w:p w14:paraId="5D7A9B52">
          <w:pPr>
            <w:pStyle w:val="13"/>
            <w:tabs>
              <w:tab w:val="right" w:leader="dot" w:pos="9071"/>
            </w:tabs>
          </w:pPr>
          <w:r>
            <w:rPr>
              <w:color w:val="auto"/>
              <w:highlight w:val="none"/>
            </w:rPr>
            <w:fldChar w:fldCharType="begin"/>
          </w:r>
          <w:r>
            <w:rPr>
              <w:highlight w:val="none"/>
            </w:rPr>
            <w:instrText xml:space="preserve"> HYPERLINK \l _Toc17804 </w:instrText>
          </w:r>
          <w:r>
            <w:rPr>
              <w:highlight w:val="none"/>
            </w:rPr>
            <w:fldChar w:fldCharType="separate"/>
          </w:r>
          <w:r>
            <w:rPr>
              <w:rFonts w:hint="eastAsia" w:ascii="宋体" w:hAnsi="宋体" w:eastAsia="宋体" w:cs="宋体"/>
              <w:szCs w:val="36"/>
              <w:highlight w:val="none"/>
              <w14:textOutline w14:w="6540" w14:cap="sq" w14:cmpd="sng" w14:algn="ctr">
                <w14:solidFill>
                  <w14:srgbClr w14:val="000000"/>
                </w14:solidFill>
                <w14:prstDash w14:val="solid"/>
                <w14:bevel/>
              </w14:textOutline>
            </w:rPr>
            <w:t>第三章 投标文件格式</w:t>
          </w:r>
          <w:r>
            <w:tab/>
          </w:r>
          <w:r>
            <w:fldChar w:fldCharType="begin"/>
          </w:r>
          <w:r>
            <w:instrText xml:space="preserve"> PAGEREF _Toc17804 \h </w:instrText>
          </w:r>
          <w:r>
            <w:fldChar w:fldCharType="separate"/>
          </w:r>
          <w:r>
            <w:t>16</w:t>
          </w:r>
          <w:r>
            <w:fldChar w:fldCharType="end"/>
          </w:r>
          <w:r>
            <w:rPr>
              <w:color w:val="auto"/>
              <w:highlight w:val="none"/>
            </w:rPr>
            <w:fldChar w:fldCharType="end"/>
          </w:r>
        </w:p>
        <w:p w14:paraId="48EAAE5A">
          <w:pPr>
            <w:pStyle w:val="14"/>
            <w:tabs>
              <w:tab w:val="right" w:leader="dot" w:pos="9071"/>
            </w:tabs>
          </w:pPr>
          <w:r>
            <w:rPr>
              <w:color w:val="auto"/>
              <w:highlight w:val="none"/>
            </w:rPr>
            <w:fldChar w:fldCharType="begin"/>
          </w:r>
          <w:r>
            <w:rPr>
              <w:highlight w:val="none"/>
            </w:rPr>
            <w:instrText xml:space="preserve"> HYPERLINK \l _Toc26429 </w:instrText>
          </w:r>
          <w:r>
            <w:rPr>
              <w:highlight w:val="none"/>
            </w:rPr>
            <w:fldChar w:fldCharType="separate"/>
          </w:r>
          <w:r>
            <w:rPr>
              <w:rFonts w:hint="eastAsia" w:ascii="宋体" w:hAnsi="宋体" w:eastAsia="宋体" w:cs="宋体"/>
              <w:bCs/>
              <w:szCs w:val="44"/>
              <w:highlight w:val="none"/>
            </w:rPr>
            <w:t>第一部分：资格性投标文件</w:t>
          </w:r>
          <w:r>
            <w:tab/>
          </w:r>
          <w:r>
            <w:fldChar w:fldCharType="begin"/>
          </w:r>
          <w:r>
            <w:instrText xml:space="preserve"> PAGEREF _Toc26429 \h </w:instrText>
          </w:r>
          <w:r>
            <w:fldChar w:fldCharType="separate"/>
          </w:r>
          <w:r>
            <w:t>17</w:t>
          </w:r>
          <w:r>
            <w:fldChar w:fldCharType="end"/>
          </w:r>
          <w:r>
            <w:rPr>
              <w:color w:val="auto"/>
              <w:highlight w:val="none"/>
            </w:rPr>
            <w:fldChar w:fldCharType="end"/>
          </w:r>
        </w:p>
        <w:p w14:paraId="11CA1506">
          <w:pPr>
            <w:pStyle w:val="14"/>
            <w:tabs>
              <w:tab w:val="right" w:leader="dot" w:pos="9071"/>
            </w:tabs>
          </w:pPr>
          <w:r>
            <w:rPr>
              <w:color w:val="auto"/>
              <w:highlight w:val="none"/>
            </w:rPr>
            <w:fldChar w:fldCharType="begin"/>
          </w:r>
          <w:r>
            <w:rPr>
              <w:highlight w:val="none"/>
            </w:rPr>
            <w:instrText xml:space="preserve"> HYPERLINK \l _Toc4716 </w:instrText>
          </w:r>
          <w:r>
            <w:rPr>
              <w:highlight w:val="none"/>
            </w:rPr>
            <w:fldChar w:fldCharType="separate"/>
          </w:r>
          <w:r>
            <w:rPr>
              <w:rFonts w:hint="eastAsia" w:ascii="宋体" w:hAnsi="宋体" w:eastAsia="宋体" w:cs="宋体"/>
              <w:bCs/>
              <w:szCs w:val="44"/>
              <w:highlight w:val="none"/>
            </w:rPr>
            <w:t>第二部分：其他响应性投标文件</w:t>
          </w:r>
          <w:r>
            <w:tab/>
          </w:r>
          <w:r>
            <w:fldChar w:fldCharType="begin"/>
          </w:r>
          <w:r>
            <w:instrText xml:space="preserve"> PAGEREF _Toc4716 \h </w:instrText>
          </w:r>
          <w:r>
            <w:fldChar w:fldCharType="separate"/>
          </w:r>
          <w:r>
            <w:t>22</w:t>
          </w:r>
          <w:r>
            <w:fldChar w:fldCharType="end"/>
          </w:r>
          <w:r>
            <w:rPr>
              <w:color w:val="auto"/>
              <w:highlight w:val="none"/>
            </w:rPr>
            <w:fldChar w:fldCharType="end"/>
          </w:r>
        </w:p>
        <w:p w14:paraId="1FD92F82">
          <w:pPr>
            <w:pStyle w:val="13"/>
            <w:tabs>
              <w:tab w:val="right" w:leader="dot" w:pos="9071"/>
            </w:tabs>
          </w:pPr>
          <w:r>
            <w:rPr>
              <w:color w:val="auto"/>
              <w:highlight w:val="none"/>
            </w:rPr>
            <w:fldChar w:fldCharType="begin"/>
          </w:r>
          <w:r>
            <w:rPr>
              <w:highlight w:val="none"/>
            </w:rPr>
            <w:instrText xml:space="preserve"> HYPERLINK \l _Toc1869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r>
            <w:tab/>
          </w:r>
          <w:r>
            <w:fldChar w:fldCharType="begin"/>
          </w:r>
          <w:r>
            <w:instrText xml:space="preserve"> PAGEREF _Toc1869 \h </w:instrText>
          </w:r>
          <w:r>
            <w:fldChar w:fldCharType="separate"/>
          </w:r>
          <w:r>
            <w:t>34</w:t>
          </w:r>
          <w:r>
            <w:fldChar w:fldCharType="end"/>
          </w:r>
          <w:r>
            <w:rPr>
              <w:color w:val="auto"/>
              <w:highlight w:val="none"/>
            </w:rPr>
            <w:fldChar w:fldCharType="end"/>
          </w:r>
        </w:p>
        <w:p w14:paraId="4C819D17">
          <w:pPr>
            <w:pStyle w:val="13"/>
            <w:tabs>
              <w:tab w:val="right" w:leader="dot" w:pos="9071"/>
            </w:tabs>
          </w:pPr>
          <w:r>
            <w:rPr>
              <w:color w:val="auto"/>
              <w:highlight w:val="none"/>
            </w:rPr>
            <w:fldChar w:fldCharType="begin"/>
          </w:r>
          <w:r>
            <w:rPr>
              <w:highlight w:val="none"/>
            </w:rPr>
            <w:instrText xml:space="preserve"> HYPERLINK \l _Toc4044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第五章  投标人应当提供的资格、资质性及其他类似效力要求的相关证明材料</w:t>
          </w:r>
          <w:r>
            <w:tab/>
          </w:r>
          <w:r>
            <w:fldChar w:fldCharType="begin"/>
          </w:r>
          <w:r>
            <w:instrText xml:space="preserve"> PAGEREF _Toc4044 \h </w:instrText>
          </w:r>
          <w:r>
            <w:fldChar w:fldCharType="separate"/>
          </w:r>
          <w:r>
            <w:t>35</w:t>
          </w:r>
          <w:r>
            <w:fldChar w:fldCharType="end"/>
          </w:r>
          <w:r>
            <w:rPr>
              <w:color w:val="auto"/>
              <w:highlight w:val="none"/>
            </w:rPr>
            <w:fldChar w:fldCharType="end"/>
          </w:r>
        </w:p>
        <w:p w14:paraId="109F603B">
          <w:pPr>
            <w:pStyle w:val="13"/>
            <w:tabs>
              <w:tab w:val="right" w:leader="dot" w:pos="9071"/>
            </w:tabs>
          </w:pPr>
          <w:r>
            <w:rPr>
              <w:color w:val="auto"/>
              <w:highlight w:val="none"/>
            </w:rPr>
            <w:fldChar w:fldCharType="begin"/>
          </w:r>
          <w:r>
            <w:rPr>
              <w:highlight w:val="none"/>
            </w:rPr>
            <w:instrText xml:space="preserve"> HYPERLINK \l _Toc8606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第六章 招标项目技术、服务及商务要求</w:t>
          </w:r>
          <w:r>
            <w:tab/>
          </w:r>
          <w:r>
            <w:fldChar w:fldCharType="begin"/>
          </w:r>
          <w:r>
            <w:instrText xml:space="preserve"> PAGEREF _Toc8606 \h </w:instrText>
          </w:r>
          <w:r>
            <w:fldChar w:fldCharType="separate"/>
          </w:r>
          <w:r>
            <w:t>36</w:t>
          </w:r>
          <w:r>
            <w:fldChar w:fldCharType="end"/>
          </w:r>
          <w:r>
            <w:rPr>
              <w:color w:val="auto"/>
              <w:highlight w:val="none"/>
            </w:rPr>
            <w:fldChar w:fldCharType="end"/>
          </w:r>
        </w:p>
        <w:p w14:paraId="50931576">
          <w:pPr>
            <w:pStyle w:val="14"/>
            <w:tabs>
              <w:tab w:val="right" w:leader="dot" w:pos="9071"/>
            </w:tabs>
          </w:pPr>
          <w:r>
            <w:rPr>
              <w:color w:val="auto"/>
              <w:highlight w:val="none"/>
            </w:rPr>
            <w:fldChar w:fldCharType="begin"/>
          </w:r>
          <w:r>
            <w:rPr>
              <w:highlight w:val="none"/>
            </w:rPr>
            <w:instrText xml:space="preserve"> HYPERLINK \l _Toc2090 </w:instrText>
          </w:r>
          <w:r>
            <w:rPr>
              <w:highlight w:val="none"/>
            </w:rPr>
            <w:fldChar w:fldCharType="separate"/>
          </w:r>
          <w:r>
            <w:rPr>
              <w:rFonts w:hint="eastAsia" w:ascii="宋体" w:hAnsi="宋体" w:eastAsia="宋体" w:cs="Times New Roman"/>
              <w:bCs/>
              <w:kern w:val="44"/>
              <w:szCs w:val="23"/>
            </w:rPr>
            <w:t xml:space="preserve">一、 </w:t>
          </w:r>
          <w:r>
            <w:rPr>
              <w:rFonts w:hint="eastAsia" w:ascii="宋体" w:hAnsi="宋体" w:eastAsia="宋体" w:cs="Times New Roman"/>
              <w:bCs/>
              <w:kern w:val="44"/>
              <w:szCs w:val="23"/>
              <w:highlight w:val="none"/>
            </w:rPr>
            <w:t>项目概况</w:t>
          </w:r>
          <w:r>
            <w:tab/>
          </w:r>
          <w:r>
            <w:fldChar w:fldCharType="begin"/>
          </w:r>
          <w:r>
            <w:instrText xml:space="preserve"> PAGEREF _Toc2090 \h </w:instrText>
          </w:r>
          <w:r>
            <w:fldChar w:fldCharType="separate"/>
          </w:r>
          <w:r>
            <w:t>36</w:t>
          </w:r>
          <w:r>
            <w:fldChar w:fldCharType="end"/>
          </w:r>
          <w:r>
            <w:rPr>
              <w:color w:val="auto"/>
              <w:highlight w:val="none"/>
            </w:rPr>
            <w:fldChar w:fldCharType="end"/>
          </w:r>
        </w:p>
        <w:p w14:paraId="3AFDEE1C">
          <w:pPr>
            <w:pStyle w:val="14"/>
            <w:tabs>
              <w:tab w:val="right" w:leader="dot" w:pos="9071"/>
            </w:tabs>
          </w:pPr>
          <w:r>
            <w:rPr>
              <w:color w:val="auto"/>
              <w:highlight w:val="none"/>
            </w:rPr>
            <w:fldChar w:fldCharType="begin"/>
          </w:r>
          <w:r>
            <w:rPr>
              <w:highlight w:val="none"/>
            </w:rPr>
            <w:instrText xml:space="preserve"> HYPERLINK \l _Toc26284 </w:instrText>
          </w:r>
          <w:r>
            <w:rPr>
              <w:highlight w:val="none"/>
            </w:rPr>
            <w:fldChar w:fldCharType="separate"/>
          </w:r>
          <w:r>
            <w:rPr>
              <w:rFonts w:hint="eastAsia" w:ascii="宋体" w:hAnsi="宋体" w:eastAsia="宋体" w:cs="Times New Roman"/>
              <w:bCs/>
              <w:kern w:val="44"/>
              <w:szCs w:val="23"/>
            </w:rPr>
            <w:t xml:space="preserve">二、 </w:t>
          </w:r>
          <w:r>
            <w:rPr>
              <w:rFonts w:hint="eastAsia" w:ascii="宋体" w:hAnsi="宋体" w:eastAsia="宋体" w:cs="Times New Roman"/>
              <w:bCs/>
              <w:kern w:val="44"/>
              <w:szCs w:val="23"/>
              <w:highlight w:val="none"/>
            </w:rPr>
            <w:t>★</w:t>
          </w:r>
          <w:r>
            <w:rPr>
              <w:rFonts w:hint="eastAsia" w:ascii="宋体" w:hAnsi="宋体" w:eastAsia="宋体" w:cs="Times New Roman"/>
              <w:bCs/>
              <w:kern w:val="44"/>
              <w:szCs w:val="23"/>
              <w:highlight w:val="none"/>
              <w:lang w:val="en-US" w:eastAsia="zh-CN"/>
            </w:rPr>
            <w:t>采购范围及内容</w:t>
          </w:r>
          <w:r>
            <w:tab/>
          </w:r>
          <w:r>
            <w:fldChar w:fldCharType="begin"/>
          </w:r>
          <w:r>
            <w:instrText xml:space="preserve"> PAGEREF _Toc26284 \h </w:instrText>
          </w:r>
          <w:r>
            <w:fldChar w:fldCharType="separate"/>
          </w:r>
          <w:r>
            <w:t>36</w:t>
          </w:r>
          <w:r>
            <w:fldChar w:fldCharType="end"/>
          </w:r>
          <w:r>
            <w:rPr>
              <w:color w:val="auto"/>
              <w:highlight w:val="none"/>
            </w:rPr>
            <w:fldChar w:fldCharType="end"/>
          </w:r>
        </w:p>
        <w:p w14:paraId="762F5856">
          <w:pPr>
            <w:pStyle w:val="14"/>
            <w:tabs>
              <w:tab w:val="right" w:leader="dot" w:pos="9071"/>
            </w:tabs>
          </w:pPr>
          <w:r>
            <w:rPr>
              <w:color w:val="auto"/>
              <w:highlight w:val="none"/>
            </w:rPr>
            <w:fldChar w:fldCharType="begin"/>
          </w:r>
          <w:r>
            <w:rPr>
              <w:highlight w:val="none"/>
            </w:rPr>
            <w:instrText xml:space="preserve"> HYPERLINK \l _Toc8745 </w:instrText>
          </w:r>
          <w:r>
            <w:rPr>
              <w:highlight w:val="none"/>
            </w:rPr>
            <w:fldChar w:fldCharType="separate"/>
          </w:r>
          <w:r>
            <w:rPr>
              <w:rFonts w:hint="eastAsia" w:ascii="宋体" w:hAnsi="宋体" w:eastAsia="宋体" w:cs="Times New Roman"/>
              <w:bCs/>
              <w:kern w:val="44"/>
              <w:szCs w:val="23"/>
              <w:lang w:val="en-US" w:eastAsia="zh-CN"/>
            </w:rPr>
            <w:t xml:space="preserve">三、 </w:t>
          </w:r>
          <w:r>
            <w:rPr>
              <w:rFonts w:hint="eastAsia" w:ascii="宋体" w:hAnsi="宋体" w:eastAsia="宋体" w:cs="Times New Roman"/>
              <w:bCs/>
              <w:kern w:val="44"/>
              <w:szCs w:val="23"/>
              <w:highlight w:val="none"/>
              <w:lang w:val="en-US" w:eastAsia="zh-CN"/>
            </w:rPr>
            <w:t>技术要求（功能和质量要求）</w:t>
          </w:r>
          <w:r>
            <w:tab/>
          </w:r>
          <w:r>
            <w:fldChar w:fldCharType="begin"/>
          </w:r>
          <w:r>
            <w:instrText xml:space="preserve"> PAGEREF _Toc8745 \h </w:instrText>
          </w:r>
          <w:r>
            <w:fldChar w:fldCharType="separate"/>
          </w:r>
          <w:r>
            <w:t>36</w:t>
          </w:r>
          <w:r>
            <w:fldChar w:fldCharType="end"/>
          </w:r>
          <w:r>
            <w:rPr>
              <w:color w:val="auto"/>
              <w:highlight w:val="none"/>
            </w:rPr>
            <w:fldChar w:fldCharType="end"/>
          </w:r>
        </w:p>
        <w:p w14:paraId="3BACD77F">
          <w:pPr>
            <w:pStyle w:val="14"/>
            <w:tabs>
              <w:tab w:val="right" w:leader="dot" w:pos="9071"/>
            </w:tabs>
          </w:pPr>
          <w:r>
            <w:rPr>
              <w:color w:val="auto"/>
              <w:highlight w:val="none"/>
            </w:rPr>
            <w:fldChar w:fldCharType="begin"/>
          </w:r>
          <w:r>
            <w:rPr>
              <w:highlight w:val="none"/>
            </w:rPr>
            <w:instrText xml:space="preserve"> HYPERLINK \l _Toc602 </w:instrText>
          </w:r>
          <w:r>
            <w:rPr>
              <w:highlight w:val="none"/>
            </w:rPr>
            <w:fldChar w:fldCharType="separate"/>
          </w:r>
          <w:r>
            <w:rPr>
              <w:rFonts w:hint="eastAsia" w:ascii="宋体" w:hAnsi="宋体" w:eastAsia="宋体" w:cs="Times New Roman"/>
              <w:bCs/>
              <w:kern w:val="44"/>
              <w:szCs w:val="23"/>
            </w:rPr>
            <w:t xml:space="preserve">四、 </w:t>
          </w:r>
          <w:r>
            <w:rPr>
              <w:rFonts w:hint="eastAsia" w:ascii="宋体" w:hAnsi="宋体" w:eastAsia="宋体" w:cs="Times New Roman"/>
              <w:bCs/>
              <w:kern w:val="44"/>
              <w:szCs w:val="23"/>
              <w:highlight w:val="none"/>
            </w:rPr>
            <w:t>★商务要求</w:t>
          </w:r>
          <w:r>
            <w:tab/>
          </w:r>
          <w:r>
            <w:fldChar w:fldCharType="begin"/>
          </w:r>
          <w:r>
            <w:instrText xml:space="preserve"> PAGEREF _Toc602 \h </w:instrText>
          </w:r>
          <w:r>
            <w:fldChar w:fldCharType="separate"/>
          </w:r>
          <w:r>
            <w:t>46</w:t>
          </w:r>
          <w:r>
            <w:fldChar w:fldCharType="end"/>
          </w:r>
          <w:r>
            <w:rPr>
              <w:color w:val="auto"/>
              <w:highlight w:val="none"/>
            </w:rPr>
            <w:fldChar w:fldCharType="end"/>
          </w:r>
        </w:p>
        <w:p w14:paraId="565B508C">
          <w:pPr>
            <w:pStyle w:val="14"/>
            <w:tabs>
              <w:tab w:val="right" w:leader="dot" w:pos="9071"/>
            </w:tabs>
          </w:pPr>
          <w:r>
            <w:rPr>
              <w:color w:val="auto"/>
              <w:highlight w:val="none"/>
            </w:rPr>
            <w:fldChar w:fldCharType="begin"/>
          </w:r>
          <w:r>
            <w:rPr>
              <w:highlight w:val="none"/>
            </w:rPr>
            <w:instrText xml:space="preserve"> HYPERLINK \l _Toc8889 </w:instrText>
          </w:r>
          <w:r>
            <w:rPr>
              <w:highlight w:val="none"/>
            </w:rPr>
            <w:fldChar w:fldCharType="separate"/>
          </w:r>
          <w:r>
            <w:rPr>
              <w:rFonts w:hint="eastAsia" w:ascii="宋体" w:hAnsi="宋体" w:eastAsia="宋体" w:cs="宋体"/>
              <w:bCs/>
              <w:szCs w:val="24"/>
              <w:lang w:val="en-US" w:eastAsia="zh-CN"/>
            </w:rPr>
            <w:t xml:space="preserve">五、 </w:t>
          </w:r>
          <w:r>
            <w:rPr>
              <w:rFonts w:hint="eastAsia" w:ascii="Times New Roman" w:hAnsi="Times New Roman" w:eastAsia="宋体" w:cs="Times New Roman"/>
              <w:bCs/>
              <w:szCs w:val="28"/>
              <w:highlight w:val="none"/>
            </w:rPr>
            <w:t>★</w:t>
          </w:r>
          <w:r>
            <w:rPr>
              <w:rFonts w:hint="eastAsia" w:ascii="宋体" w:hAnsi="宋体" w:eastAsia="宋体" w:cs="宋体"/>
              <w:bCs/>
              <w:szCs w:val="24"/>
              <w:highlight w:val="none"/>
              <w:lang w:eastAsia="zh-CN"/>
            </w:rPr>
            <w:t>履约保证金要求</w:t>
          </w:r>
          <w:r>
            <w:tab/>
          </w:r>
          <w:r>
            <w:fldChar w:fldCharType="begin"/>
          </w:r>
          <w:r>
            <w:instrText xml:space="preserve"> PAGEREF _Toc8889 \h </w:instrText>
          </w:r>
          <w:r>
            <w:fldChar w:fldCharType="separate"/>
          </w:r>
          <w:r>
            <w:t>48</w:t>
          </w:r>
          <w:r>
            <w:fldChar w:fldCharType="end"/>
          </w:r>
          <w:r>
            <w:rPr>
              <w:color w:val="auto"/>
              <w:highlight w:val="none"/>
            </w:rPr>
            <w:fldChar w:fldCharType="end"/>
          </w:r>
        </w:p>
        <w:p w14:paraId="15F42E0B">
          <w:pPr>
            <w:pStyle w:val="14"/>
            <w:tabs>
              <w:tab w:val="right" w:leader="dot" w:pos="9071"/>
            </w:tabs>
          </w:pPr>
          <w:r>
            <w:rPr>
              <w:color w:val="auto"/>
              <w:highlight w:val="none"/>
            </w:rPr>
            <w:fldChar w:fldCharType="begin"/>
          </w:r>
          <w:r>
            <w:rPr>
              <w:highlight w:val="none"/>
            </w:rPr>
            <w:instrText xml:space="preserve"> HYPERLINK \l _Toc21491 </w:instrText>
          </w:r>
          <w:r>
            <w:rPr>
              <w:highlight w:val="none"/>
            </w:rPr>
            <w:fldChar w:fldCharType="separate"/>
          </w:r>
          <w:r>
            <w:rPr>
              <w:rFonts w:hint="eastAsia" w:ascii="宋体" w:hAnsi="宋体" w:eastAsia="宋体" w:cs="宋体"/>
              <w:bCs/>
              <w:kern w:val="44"/>
              <w:szCs w:val="24"/>
              <w:lang w:eastAsia="zh-CN"/>
            </w:rPr>
            <w:t xml:space="preserve">六、 </w:t>
          </w:r>
          <w:r>
            <w:rPr>
              <w:rFonts w:hint="eastAsia" w:ascii="宋体" w:hAnsi="宋体" w:eastAsia="宋体" w:cs="宋体"/>
              <w:bCs/>
              <w:kern w:val="44"/>
              <w:szCs w:val="24"/>
              <w:highlight w:val="none"/>
              <w:lang w:eastAsia="zh-CN"/>
            </w:rPr>
            <w:t>方案要求</w:t>
          </w:r>
          <w:r>
            <w:tab/>
          </w:r>
          <w:r>
            <w:fldChar w:fldCharType="begin"/>
          </w:r>
          <w:r>
            <w:instrText xml:space="preserve"> PAGEREF _Toc21491 \h </w:instrText>
          </w:r>
          <w:r>
            <w:fldChar w:fldCharType="separate"/>
          </w:r>
          <w:r>
            <w:t>48</w:t>
          </w:r>
          <w:r>
            <w:fldChar w:fldCharType="end"/>
          </w:r>
          <w:r>
            <w:rPr>
              <w:color w:val="auto"/>
              <w:highlight w:val="none"/>
            </w:rPr>
            <w:fldChar w:fldCharType="end"/>
          </w:r>
        </w:p>
        <w:p w14:paraId="043E38C6">
          <w:pPr>
            <w:pStyle w:val="13"/>
            <w:tabs>
              <w:tab w:val="right" w:leader="dot" w:pos="9071"/>
            </w:tabs>
          </w:pPr>
          <w:r>
            <w:rPr>
              <w:color w:val="auto"/>
              <w:highlight w:val="none"/>
            </w:rPr>
            <w:fldChar w:fldCharType="begin"/>
          </w:r>
          <w:r>
            <w:rPr>
              <w:highlight w:val="none"/>
            </w:rPr>
            <w:instrText xml:space="preserve"> HYPERLINK \l _Toc19151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第七章  评标办法</w:t>
          </w:r>
          <w:r>
            <w:tab/>
          </w:r>
          <w:r>
            <w:fldChar w:fldCharType="begin"/>
          </w:r>
          <w:r>
            <w:instrText xml:space="preserve"> PAGEREF _Toc19151 \h </w:instrText>
          </w:r>
          <w:r>
            <w:fldChar w:fldCharType="separate"/>
          </w:r>
          <w:r>
            <w:t>50</w:t>
          </w:r>
          <w:r>
            <w:fldChar w:fldCharType="end"/>
          </w:r>
          <w:r>
            <w:rPr>
              <w:color w:val="auto"/>
              <w:highlight w:val="none"/>
            </w:rPr>
            <w:fldChar w:fldCharType="end"/>
          </w:r>
        </w:p>
        <w:p w14:paraId="0AE0DB80">
          <w:pPr>
            <w:pStyle w:val="14"/>
            <w:tabs>
              <w:tab w:val="right" w:leader="dot" w:pos="9071"/>
            </w:tabs>
          </w:pPr>
          <w:r>
            <w:rPr>
              <w:color w:val="auto"/>
              <w:highlight w:val="none"/>
            </w:rPr>
            <w:fldChar w:fldCharType="begin"/>
          </w:r>
          <w:r>
            <w:rPr>
              <w:highlight w:val="none"/>
            </w:rPr>
            <w:instrText xml:space="preserve"> HYPERLINK \l _Toc25682 </w:instrText>
          </w:r>
          <w:r>
            <w:rPr>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总则</w:t>
          </w:r>
          <w:r>
            <w:tab/>
          </w:r>
          <w:r>
            <w:fldChar w:fldCharType="begin"/>
          </w:r>
          <w:r>
            <w:instrText xml:space="preserve"> PAGEREF _Toc25682 \h </w:instrText>
          </w:r>
          <w:r>
            <w:fldChar w:fldCharType="separate"/>
          </w:r>
          <w:r>
            <w:t>50</w:t>
          </w:r>
          <w:r>
            <w:fldChar w:fldCharType="end"/>
          </w:r>
          <w:r>
            <w:rPr>
              <w:color w:val="auto"/>
              <w:highlight w:val="none"/>
            </w:rPr>
            <w:fldChar w:fldCharType="end"/>
          </w:r>
        </w:p>
        <w:p w14:paraId="545E47A7">
          <w:pPr>
            <w:pStyle w:val="14"/>
            <w:tabs>
              <w:tab w:val="right" w:leader="dot" w:pos="9071"/>
            </w:tabs>
          </w:pPr>
          <w:r>
            <w:rPr>
              <w:color w:val="auto"/>
              <w:highlight w:val="none"/>
            </w:rPr>
            <w:fldChar w:fldCharType="begin"/>
          </w:r>
          <w:r>
            <w:rPr>
              <w:highlight w:val="none"/>
            </w:rPr>
            <w:instrText xml:space="preserve"> HYPERLINK \l _Toc13707 </w:instrText>
          </w:r>
          <w:r>
            <w:rPr>
              <w:highlight w:val="none"/>
            </w:rPr>
            <w:fldChar w:fldCharType="separate"/>
          </w:r>
          <w:r>
            <w:rPr>
              <w:rFonts w:hint="eastAsia" w:ascii="宋体" w:hAnsi="宋体" w:eastAsia="宋体" w:cs="宋体"/>
              <w:bCs/>
              <w:szCs w:val="24"/>
              <w:highlight w:val="none"/>
              <w:lang w:eastAsia="zh-CN"/>
            </w:rPr>
            <w:t>二、</w:t>
          </w:r>
          <w:r>
            <w:rPr>
              <w:rFonts w:hint="eastAsia" w:ascii="宋体" w:hAnsi="宋体" w:eastAsia="宋体" w:cs="宋体"/>
              <w:bCs/>
              <w:szCs w:val="24"/>
              <w:highlight w:val="none"/>
            </w:rPr>
            <w:t>评标方法</w:t>
          </w:r>
          <w:r>
            <w:tab/>
          </w:r>
          <w:r>
            <w:fldChar w:fldCharType="begin"/>
          </w:r>
          <w:r>
            <w:instrText xml:space="preserve"> PAGEREF _Toc13707 \h </w:instrText>
          </w:r>
          <w:r>
            <w:fldChar w:fldCharType="separate"/>
          </w:r>
          <w:r>
            <w:t>50</w:t>
          </w:r>
          <w:r>
            <w:fldChar w:fldCharType="end"/>
          </w:r>
          <w:r>
            <w:rPr>
              <w:color w:val="auto"/>
              <w:highlight w:val="none"/>
            </w:rPr>
            <w:fldChar w:fldCharType="end"/>
          </w:r>
        </w:p>
        <w:p w14:paraId="201C81EA">
          <w:pPr>
            <w:pStyle w:val="14"/>
            <w:tabs>
              <w:tab w:val="right" w:leader="dot" w:pos="9071"/>
            </w:tabs>
          </w:pPr>
          <w:r>
            <w:rPr>
              <w:color w:val="auto"/>
              <w:highlight w:val="none"/>
            </w:rPr>
            <w:fldChar w:fldCharType="begin"/>
          </w:r>
          <w:r>
            <w:rPr>
              <w:highlight w:val="none"/>
            </w:rPr>
            <w:instrText xml:space="preserve"> HYPERLINK \l _Toc19465 </w:instrText>
          </w:r>
          <w:r>
            <w:rPr>
              <w:highlight w:val="none"/>
            </w:rPr>
            <w:fldChar w:fldCharType="separate"/>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评标程序</w:t>
          </w:r>
          <w:r>
            <w:tab/>
          </w:r>
          <w:r>
            <w:fldChar w:fldCharType="begin"/>
          </w:r>
          <w:r>
            <w:instrText xml:space="preserve"> PAGEREF _Toc19465 \h </w:instrText>
          </w:r>
          <w:r>
            <w:fldChar w:fldCharType="separate"/>
          </w:r>
          <w:r>
            <w:t>50</w:t>
          </w:r>
          <w:r>
            <w:fldChar w:fldCharType="end"/>
          </w:r>
          <w:r>
            <w:rPr>
              <w:color w:val="auto"/>
              <w:highlight w:val="none"/>
            </w:rPr>
            <w:fldChar w:fldCharType="end"/>
          </w:r>
        </w:p>
        <w:p w14:paraId="5CF1F94D">
          <w:pPr>
            <w:pStyle w:val="14"/>
            <w:tabs>
              <w:tab w:val="right" w:leader="dot" w:pos="9071"/>
            </w:tabs>
          </w:pPr>
          <w:r>
            <w:rPr>
              <w:color w:val="auto"/>
              <w:highlight w:val="none"/>
            </w:rPr>
            <w:fldChar w:fldCharType="begin"/>
          </w:r>
          <w:r>
            <w:rPr>
              <w:highlight w:val="none"/>
            </w:rPr>
            <w:instrText xml:space="preserve"> HYPERLINK \l _Toc32706 </w:instrText>
          </w:r>
          <w:r>
            <w:rPr>
              <w:highlight w:val="none"/>
            </w:rPr>
            <w:fldChar w:fldCharType="separate"/>
          </w:r>
          <w:r>
            <w:rPr>
              <w:rFonts w:hint="eastAsia" w:ascii="宋体" w:hAnsi="宋体" w:eastAsia="宋体" w:cs="宋体"/>
              <w:bCs/>
              <w:szCs w:val="24"/>
              <w:highlight w:val="none"/>
              <w:lang w:eastAsia="zh-CN"/>
            </w:rPr>
            <w:t>四、</w:t>
          </w:r>
          <w:r>
            <w:rPr>
              <w:rFonts w:hint="eastAsia" w:ascii="宋体" w:hAnsi="宋体" w:eastAsia="宋体" w:cs="宋体"/>
              <w:bCs/>
              <w:szCs w:val="24"/>
              <w:highlight w:val="none"/>
            </w:rPr>
            <w:t>废 标</w:t>
          </w:r>
          <w:r>
            <w:tab/>
          </w:r>
          <w:r>
            <w:fldChar w:fldCharType="begin"/>
          </w:r>
          <w:r>
            <w:instrText xml:space="preserve"> PAGEREF _Toc32706 \h </w:instrText>
          </w:r>
          <w:r>
            <w:fldChar w:fldCharType="separate"/>
          </w:r>
          <w:r>
            <w:t>55</w:t>
          </w:r>
          <w:r>
            <w:fldChar w:fldCharType="end"/>
          </w:r>
          <w:r>
            <w:rPr>
              <w:color w:val="auto"/>
              <w:highlight w:val="none"/>
            </w:rPr>
            <w:fldChar w:fldCharType="end"/>
          </w:r>
        </w:p>
        <w:p w14:paraId="55B8F79A">
          <w:pPr>
            <w:pStyle w:val="14"/>
            <w:tabs>
              <w:tab w:val="right" w:leader="dot" w:pos="9071"/>
            </w:tabs>
          </w:pPr>
          <w:r>
            <w:rPr>
              <w:color w:val="auto"/>
              <w:highlight w:val="none"/>
            </w:rPr>
            <w:fldChar w:fldCharType="begin"/>
          </w:r>
          <w:r>
            <w:rPr>
              <w:highlight w:val="none"/>
            </w:rPr>
            <w:instrText xml:space="preserve"> HYPERLINK \l _Toc32237 </w:instrText>
          </w:r>
          <w:r>
            <w:rPr>
              <w:highlight w:val="none"/>
            </w:rPr>
            <w:fldChar w:fldCharType="separate"/>
          </w:r>
          <w:r>
            <w:rPr>
              <w:rFonts w:hint="eastAsia" w:ascii="宋体" w:hAnsi="宋体" w:eastAsia="宋体" w:cs="宋体"/>
              <w:bCs/>
              <w:szCs w:val="24"/>
              <w:highlight w:val="none"/>
              <w:lang w:eastAsia="zh-CN"/>
            </w:rPr>
            <w:t>五、</w:t>
          </w:r>
          <w:r>
            <w:rPr>
              <w:rFonts w:hint="eastAsia" w:ascii="宋体" w:hAnsi="宋体" w:eastAsia="宋体" w:cs="宋体"/>
              <w:bCs/>
              <w:szCs w:val="24"/>
              <w:highlight w:val="none"/>
            </w:rPr>
            <w:t>定标</w:t>
          </w:r>
          <w:r>
            <w:tab/>
          </w:r>
          <w:r>
            <w:fldChar w:fldCharType="begin"/>
          </w:r>
          <w:r>
            <w:instrText xml:space="preserve"> PAGEREF _Toc32237 \h </w:instrText>
          </w:r>
          <w:r>
            <w:fldChar w:fldCharType="separate"/>
          </w:r>
          <w:r>
            <w:t>56</w:t>
          </w:r>
          <w:r>
            <w:fldChar w:fldCharType="end"/>
          </w:r>
          <w:r>
            <w:rPr>
              <w:color w:val="auto"/>
              <w:highlight w:val="none"/>
            </w:rPr>
            <w:fldChar w:fldCharType="end"/>
          </w:r>
        </w:p>
        <w:p w14:paraId="47598DB4">
          <w:pPr>
            <w:pStyle w:val="14"/>
            <w:tabs>
              <w:tab w:val="right" w:leader="dot" w:pos="9071"/>
            </w:tabs>
          </w:pPr>
          <w:r>
            <w:rPr>
              <w:color w:val="auto"/>
              <w:highlight w:val="none"/>
            </w:rPr>
            <w:fldChar w:fldCharType="begin"/>
          </w:r>
          <w:r>
            <w:rPr>
              <w:highlight w:val="none"/>
            </w:rPr>
            <w:instrText xml:space="preserve"> HYPERLINK \l _Toc31384 </w:instrText>
          </w:r>
          <w:r>
            <w:rPr>
              <w:highlight w:val="none"/>
            </w:rPr>
            <w:fldChar w:fldCharType="separate"/>
          </w:r>
          <w:r>
            <w:rPr>
              <w:rFonts w:hint="eastAsia" w:ascii="宋体" w:hAnsi="宋体" w:eastAsia="宋体" w:cs="宋体"/>
              <w:bCs/>
              <w:szCs w:val="24"/>
              <w:highlight w:val="none"/>
              <w:lang w:eastAsia="zh-CN"/>
            </w:rPr>
            <w:t>六、</w:t>
          </w:r>
          <w:r>
            <w:rPr>
              <w:rFonts w:hint="eastAsia" w:ascii="宋体" w:hAnsi="宋体" w:eastAsia="宋体" w:cs="宋体"/>
              <w:bCs/>
              <w:szCs w:val="24"/>
              <w:highlight w:val="none"/>
            </w:rPr>
            <w:t>评标专家在采购活动中承担以下义务：</w:t>
          </w:r>
          <w:r>
            <w:tab/>
          </w:r>
          <w:r>
            <w:fldChar w:fldCharType="begin"/>
          </w:r>
          <w:r>
            <w:instrText xml:space="preserve"> PAGEREF _Toc31384 \h </w:instrText>
          </w:r>
          <w:r>
            <w:fldChar w:fldCharType="separate"/>
          </w:r>
          <w:r>
            <w:t>56</w:t>
          </w:r>
          <w:r>
            <w:fldChar w:fldCharType="end"/>
          </w:r>
          <w:r>
            <w:rPr>
              <w:color w:val="auto"/>
              <w:highlight w:val="none"/>
            </w:rPr>
            <w:fldChar w:fldCharType="end"/>
          </w:r>
        </w:p>
        <w:p w14:paraId="5DA4A5A0">
          <w:pPr>
            <w:pStyle w:val="14"/>
            <w:tabs>
              <w:tab w:val="right" w:leader="dot" w:pos="9071"/>
            </w:tabs>
          </w:pPr>
          <w:r>
            <w:rPr>
              <w:color w:val="auto"/>
              <w:highlight w:val="none"/>
            </w:rPr>
            <w:fldChar w:fldCharType="begin"/>
          </w:r>
          <w:r>
            <w:rPr>
              <w:highlight w:val="none"/>
            </w:rPr>
            <w:instrText xml:space="preserve"> HYPERLINK \l _Toc5511 </w:instrText>
          </w:r>
          <w:r>
            <w:rPr>
              <w:highlight w:val="none"/>
            </w:rPr>
            <w:fldChar w:fldCharType="separate"/>
          </w:r>
          <w:r>
            <w:rPr>
              <w:rFonts w:hint="eastAsia" w:ascii="宋体" w:hAnsi="宋体" w:eastAsia="宋体" w:cs="宋体"/>
              <w:bCs/>
              <w:szCs w:val="24"/>
              <w:highlight w:val="none"/>
              <w:lang w:eastAsia="zh-CN"/>
            </w:rPr>
            <w:t>七、</w:t>
          </w:r>
          <w:r>
            <w:rPr>
              <w:rFonts w:hint="eastAsia" w:ascii="宋体" w:hAnsi="宋体" w:eastAsia="宋体" w:cs="宋体"/>
              <w:bCs/>
              <w:szCs w:val="24"/>
              <w:highlight w:val="none"/>
            </w:rPr>
            <w:t>评标专家在采购活动中应当遵守以下工作纪律：</w:t>
          </w:r>
          <w:r>
            <w:tab/>
          </w:r>
          <w:r>
            <w:fldChar w:fldCharType="begin"/>
          </w:r>
          <w:r>
            <w:instrText xml:space="preserve"> PAGEREF _Toc5511 \h </w:instrText>
          </w:r>
          <w:r>
            <w:fldChar w:fldCharType="separate"/>
          </w:r>
          <w:r>
            <w:t>57</w:t>
          </w:r>
          <w:r>
            <w:fldChar w:fldCharType="end"/>
          </w:r>
          <w:r>
            <w:rPr>
              <w:color w:val="auto"/>
              <w:highlight w:val="none"/>
            </w:rPr>
            <w:fldChar w:fldCharType="end"/>
          </w:r>
        </w:p>
        <w:p w14:paraId="0D446500">
          <w:pPr>
            <w:pStyle w:val="13"/>
            <w:tabs>
              <w:tab w:val="right" w:leader="dot" w:pos="9071"/>
            </w:tabs>
          </w:pPr>
          <w:r>
            <w:rPr>
              <w:color w:val="auto"/>
              <w:highlight w:val="none"/>
            </w:rPr>
            <w:fldChar w:fldCharType="begin"/>
          </w:r>
          <w:r>
            <w:rPr>
              <w:highlight w:val="none"/>
            </w:rPr>
            <w:instrText xml:space="preserve"> HYPERLINK \l _Toc28315 </w:instrText>
          </w:r>
          <w:r>
            <w:rPr>
              <w:highlight w:val="none"/>
            </w:rPr>
            <w:fldChar w:fldCharType="separate"/>
          </w:r>
          <w:r>
            <w:rPr>
              <w:rFonts w:hint="eastAsia" w:ascii="宋体" w:hAnsi="宋体" w:eastAsia="宋体" w:cs="宋体"/>
              <w:spacing w:val="11"/>
              <w:szCs w:val="36"/>
              <w:highlight w:val="none"/>
              <w14:textOutline w14:w="6540" w14:cap="sq" w14:cmpd="sng" w14:algn="ctr">
                <w14:solidFill>
                  <w14:srgbClr w14:val="000000"/>
                </w14:solidFill>
                <w14:prstDash w14:val="solid"/>
                <w14:bevel/>
              </w14:textOutline>
            </w:rPr>
            <w:t>第八章  合同主要条款</w:t>
          </w:r>
          <w:r>
            <w:tab/>
          </w:r>
          <w:r>
            <w:fldChar w:fldCharType="begin"/>
          </w:r>
          <w:r>
            <w:instrText xml:space="preserve"> PAGEREF _Toc28315 \h </w:instrText>
          </w:r>
          <w:r>
            <w:fldChar w:fldCharType="separate"/>
          </w:r>
          <w:r>
            <w:t>58</w:t>
          </w:r>
          <w:r>
            <w:fldChar w:fldCharType="end"/>
          </w:r>
          <w:r>
            <w:rPr>
              <w:color w:val="auto"/>
              <w:highlight w:val="none"/>
            </w:rPr>
            <w:fldChar w:fldCharType="end"/>
          </w:r>
        </w:p>
        <w:p w14:paraId="62CCF7CA">
          <w:pPr>
            <w:spacing w:line="240" w:lineRule="auto"/>
            <w:rPr>
              <w:color w:val="auto"/>
              <w:highlight w:val="none"/>
            </w:rPr>
          </w:pPr>
          <w:r>
            <w:rPr>
              <w:color w:val="auto"/>
              <w:highlight w:val="none"/>
            </w:rPr>
            <w:fldChar w:fldCharType="end"/>
          </w:r>
        </w:p>
      </w:sdtContent>
    </w:sdt>
    <w:p w14:paraId="42D207DB">
      <w:pPr>
        <w:spacing w:line="240" w:lineRule="auto"/>
        <w:rPr>
          <w:color w:val="auto"/>
          <w:highlight w:val="none"/>
        </w:rPr>
      </w:pPr>
    </w:p>
    <w:p w14:paraId="14F64F49">
      <w:pPr>
        <w:spacing w:before="114" w:line="240" w:lineRule="auto"/>
        <w:jc w:val="center"/>
        <w:outlineLvl w:val="0"/>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sectPr>
          <w:footerReference r:id="rId3" w:type="default"/>
          <w:pgSz w:w="11905" w:h="16838"/>
          <w:pgMar w:top="1417" w:right="1417" w:bottom="1417" w:left="1417" w:header="0" w:footer="1134" w:gutter="0"/>
          <w:pgNumType w:start="1"/>
          <w:cols w:space="425" w:num="1"/>
        </w:sectPr>
      </w:pPr>
      <w:bookmarkStart w:id="2" w:name="_Toc3463"/>
    </w:p>
    <w:p w14:paraId="4AC17EC0">
      <w:pPr>
        <w:spacing w:before="114" w:line="240" w:lineRule="auto"/>
        <w:jc w:val="center"/>
        <w:outlineLvl w:val="0"/>
        <w:rPr>
          <w:rFonts w:ascii="宋体" w:hAnsi="宋体" w:eastAsia="宋体" w:cs="宋体"/>
          <w:color w:val="auto"/>
          <w:sz w:val="36"/>
          <w:szCs w:val="36"/>
          <w:highlight w:val="none"/>
        </w:rPr>
      </w:pPr>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color w:val="auto"/>
          <w:spacing w:val="8"/>
          <w:sz w:val="36"/>
          <w:szCs w:val="36"/>
          <w:highlight w:val="none"/>
        </w:rPr>
        <w:t xml:space="preserve">  </w:t>
      </w:r>
      <w:r>
        <w:rPr>
          <w:rFonts w:hint="eastAsia" w:ascii="宋体" w:hAnsi="宋体" w:eastAsia="宋体" w:cs="宋体"/>
          <w:color w:val="auto"/>
          <w:spacing w:val="8"/>
          <w:sz w:val="36"/>
          <w:szCs w:val="36"/>
          <w:highlight w:val="none"/>
          <w14:textOutline w14:w="6540" w14:cap="sq" w14:cmpd="sng" w14:algn="ctr">
            <w14:solidFill>
              <w14:srgbClr w14:val="000000"/>
            </w14:solidFill>
            <w14:prstDash w14:val="solid"/>
            <w14:bevel/>
          </w14:textOutline>
        </w:rPr>
        <w:t>投标邀请</w:t>
      </w:r>
      <w:bookmarkEnd w:id="2"/>
    </w:p>
    <w:p w14:paraId="3F1B95A5">
      <w:pPr>
        <w:spacing w:line="240" w:lineRule="auto"/>
        <w:rPr>
          <w:color w:val="auto"/>
          <w:highlight w:val="none"/>
        </w:rPr>
      </w:pPr>
    </w:p>
    <w:p w14:paraId="4EDB3D2B">
      <w:pPr>
        <w:spacing w:line="240" w:lineRule="auto"/>
        <w:rPr>
          <w:color w:val="auto"/>
          <w:highlight w:val="none"/>
        </w:rPr>
      </w:pPr>
    </w:p>
    <w:p w14:paraId="062FB78A">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受</w:t>
      </w:r>
      <w:r>
        <w:rPr>
          <w:rFonts w:hint="eastAsia" w:ascii="宋体" w:hAnsi="宋体" w:eastAsia="宋体" w:cs="宋体"/>
          <w:b/>
          <w:bCs/>
          <w:color w:val="auto"/>
          <w:sz w:val="24"/>
          <w:szCs w:val="24"/>
          <w:highlight w:val="none"/>
          <w:u w:val="single"/>
          <w:lang w:eastAsia="zh-CN"/>
        </w:rPr>
        <w:t>成都市技师学院</w:t>
      </w:r>
      <w:r>
        <w:rPr>
          <w:rFonts w:ascii="宋体" w:hAnsi="宋体" w:eastAsia="宋体" w:cs="宋体"/>
          <w:color w:val="auto"/>
          <w:sz w:val="24"/>
          <w:szCs w:val="24"/>
          <w:highlight w:val="none"/>
        </w:rPr>
        <w:t>委托，拟对</w:t>
      </w:r>
      <w:r>
        <w:rPr>
          <w:rFonts w:hint="eastAsia" w:ascii="宋体" w:hAnsi="宋体" w:eastAsia="宋体" w:cs="宋体"/>
          <w:b/>
          <w:bCs/>
          <w:color w:val="auto"/>
          <w:sz w:val="24"/>
          <w:szCs w:val="24"/>
          <w:highlight w:val="none"/>
          <w:u w:val="single"/>
          <w:lang w:eastAsia="zh-CN"/>
        </w:rPr>
        <w:t>成都市技师学院（成都工贸职业技术学院）路桥工程施工技术仿真系统采购项目</w:t>
      </w:r>
      <w:r>
        <w:rPr>
          <w:rFonts w:ascii="宋体" w:hAnsi="宋体" w:eastAsia="宋体" w:cs="宋体"/>
          <w:color w:val="auto"/>
          <w:sz w:val="24"/>
          <w:szCs w:val="24"/>
          <w:highlight w:val="none"/>
        </w:rPr>
        <w:t>进行国内公开招标，兹邀请符合本次招标要求的</w:t>
      </w:r>
      <w:r>
        <w:rPr>
          <w:rFonts w:hint="eastAsia" w:ascii="宋体" w:hAnsi="宋体" w:eastAsia="宋体" w:cs="宋体"/>
          <w:color w:val="auto"/>
          <w:sz w:val="24"/>
          <w:szCs w:val="24"/>
          <w:highlight w:val="none"/>
          <w:lang w:eastAsia="zh-CN"/>
        </w:rPr>
        <w:t>招标人</w:t>
      </w:r>
      <w:r>
        <w:rPr>
          <w:rFonts w:ascii="宋体" w:hAnsi="宋体" w:eastAsia="宋体" w:cs="宋体"/>
          <w:color w:val="auto"/>
          <w:sz w:val="24"/>
          <w:szCs w:val="24"/>
          <w:highlight w:val="none"/>
        </w:rPr>
        <w:t>参加投标。</w:t>
      </w:r>
    </w:p>
    <w:p w14:paraId="134277B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一、招标编号：</w:t>
      </w:r>
      <w:r>
        <w:rPr>
          <w:rFonts w:hint="eastAsia" w:ascii="宋体" w:hAnsi="宋体" w:eastAsia="宋体" w:cs="宋体"/>
          <w:b/>
          <w:bCs/>
          <w:color w:val="auto"/>
          <w:sz w:val="24"/>
          <w:szCs w:val="24"/>
          <w:highlight w:val="none"/>
          <w:lang w:eastAsia="zh-CN"/>
        </w:rPr>
        <w:t>SCMX-SC-2024-1082</w:t>
      </w:r>
      <w:r>
        <w:rPr>
          <w:rFonts w:hint="eastAsia" w:ascii="宋体" w:hAnsi="宋体" w:eastAsia="宋体" w:cs="宋体"/>
          <w:b/>
          <w:bCs/>
          <w:color w:val="auto"/>
          <w:sz w:val="24"/>
          <w:szCs w:val="24"/>
          <w:highlight w:val="none"/>
        </w:rPr>
        <w:t xml:space="preserve"> </w:t>
      </w:r>
    </w:p>
    <w:p w14:paraId="43474A5C">
      <w:pPr>
        <w:spacing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二、招标项目：</w:t>
      </w:r>
      <w:r>
        <w:rPr>
          <w:rFonts w:hint="eastAsia" w:ascii="宋体" w:hAnsi="宋体" w:eastAsia="宋体" w:cs="宋体"/>
          <w:b/>
          <w:bCs/>
          <w:color w:val="auto"/>
          <w:sz w:val="24"/>
          <w:szCs w:val="24"/>
          <w:highlight w:val="none"/>
          <w:lang w:eastAsia="zh-CN"/>
        </w:rPr>
        <w:t>成都市技师学院（成都工贸职业技术学院）路桥工程施工技术仿真系统采购项目。</w:t>
      </w:r>
    </w:p>
    <w:p w14:paraId="14D1B584">
      <w:pPr>
        <w:spacing w:line="24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项目预算：32万元</w:t>
      </w:r>
    </w:p>
    <w:p w14:paraId="6F35ABA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四、最高限价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32万元</w:t>
      </w:r>
      <w:r>
        <w:rPr>
          <w:rFonts w:hint="eastAsia" w:ascii="宋体" w:hAnsi="宋体" w:eastAsia="宋体" w:cs="宋体"/>
          <w:b/>
          <w:bCs/>
          <w:color w:val="auto"/>
          <w:sz w:val="24"/>
          <w:szCs w:val="24"/>
          <w:highlight w:val="none"/>
        </w:rPr>
        <w:t>。超过最高限价的报价为无效投标。</w:t>
      </w:r>
    </w:p>
    <w:p w14:paraId="335C660E">
      <w:pPr>
        <w:spacing w:line="24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、招标项目简介：</w:t>
      </w:r>
      <w:r>
        <w:rPr>
          <w:rFonts w:hint="eastAsia" w:ascii="宋体" w:hAnsi="宋体" w:eastAsia="宋体" w:cs="宋体"/>
          <w:b/>
          <w:bCs/>
          <w:color w:val="auto"/>
          <w:sz w:val="24"/>
          <w:szCs w:val="24"/>
          <w:highlight w:val="none"/>
          <w:lang w:val="en-US" w:eastAsia="zh-CN"/>
        </w:rPr>
        <w:t>成都市技师学院（成都工贸职业技术学院）路桥工程施工技术仿真系统采购项目具体包含：路桥施工实训云平台、路桥施工专业知识问答模拟模块、路桥施工工艺模拟实操模块、路桥施工组织管理案例实操管理模块4部分。本项目旨在通过路桥施工仿真系统的搭建，满足我校铁道工程技术专业群路桥类课程基本教学、专业技能实训及全国路桥施工类技能大赛要求，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7DEADEAA">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参加本次采购活动，应当在提交投标文件前具备下列条件：</w:t>
      </w:r>
    </w:p>
    <w:p w14:paraId="3E8E0D54">
      <w:pPr>
        <w:spacing w:line="240" w:lineRule="auto"/>
        <w:ind w:firstLine="480" w:firstLineChars="200"/>
        <w:rPr>
          <w:rFonts w:ascii="宋体" w:hAnsi="宋体" w:eastAsia="宋体" w:cs="宋体"/>
          <w:color w:val="auto"/>
          <w:sz w:val="24"/>
          <w:szCs w:val="24"/>
          <w:highlight w:val="none"/>
        </w:rPr>
      </w:pPr>
      <w:bookmarkStart w:id="3" w:name="_Toc823"/>
      <w:r>
        <w:rPr>
          <w:rFonts w:ascii="宋体" w:hAnsi="宋体" w:eastAsia="宋体" w:cs="宋体"/>
          <w:color w:val="auto"/>
          <w:position w:val="1"/>
          <w:sz w:val="24"/>
          <w:szCs w:val="24"/>
          <w:highlight w:val="none"/>
        </w:rPr>
        <w:t>1、满足《中华人民共和国政府采购法》第二十二条规定；</w:t>
      </w:r>
      <w:bookmarkEnd w:id="3"/>
    </w:p>
    <w:p w14:paraId="6B5A1907">
      <w:pPr>
        <w:spacing w:line="24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bookmarkStart w:id="4" w:name="_Toc17420"/>
      <w:r>
        <w:rPr>
          <w:rFonts w:hint="eastAsia" w:ascii="宋体" w:hAnsi="宋体" w:eastAsia="宋体" w:cs="宋体"/>
          <w:color w:val="auto"/>
          <w:sz w:val="24"/>
          <w:szCs w:val="24"/>
          <w:highlight w:val="none"/>
        </w:rPr>
        <w:t>本项目不接受联合体投标</w:t>
      </w:r>
      <w:bookmarkEnd w:id="4"/>
      <w:r>
        <w:rPr>
          <w:rFonts w:hint="eastAsia" w:ascii="宋体" w:hAnsi="宋体" w:eastAsia="宋体" w:cs="宋体"/>
          <w:color w:val="auto"/>
          <w:sz w:val="24"/>
          <w:szCs w:val="24"/>
          <w:highlight w:val="none"/>
          <w:lang w:eastAsia="zh-CN"/>
        </w:rPr>
        <w:t>；</w:t>
      </w:r>
    </w:p>
    <w:p w14:paraId="7D77E363">
      <w:pPr>
        <w:spacing w:line="240" w:lineRule="auto"/>
        <w:ind w:firstLine="482" w:firstLineChars="200"/>
        <w:rPr>
          <w:rFonts w:hint="eastAsia" w:ascii="宋体" w:hAnsi="宋体" w:eastAsia="宋体" w:cs="宋体"/>
          <w:b/>
          <w:bCs/>
          <w:color w:val="auto"/>
          <w:sz w:val="24"/>
          <w:szCs w:val="24"/>
          <w:highlight w:val="none"/>
          <w:lang w:eastAsia="zh-CN"/>
        </w:rPr>
      </w:pPr>
      <w:bookmarkStart w:id="5" w:name="_Toc13310"/>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、严禁参加本次</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活动的</w:t>
      </w:r>
      <w:bookmarkEnd w:id="5"/>
      <w:r>
        <w:rPr>
          <w:rFonts w:hint="eastAsia" w:ascii="宋体" w:hAnsi="宋体" w:eastAsia="宋体" w:cs="宋体"/>
          <w:b/>
          <w:bCs/>
          <w:color w:val="auto"/>
          <w:sz w:val="24"/>
          <w:szCs w:val="24"/>
          <w:highlight w:val="none"/>
          <w:lang w:eastAsia="zh-CN"/>
        </w:rPr>
        <w:t>投标人</w:t>
      </w:r>
    </w:p>
    <w:p w14:paraId="7A4DA3CC">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1.根据《关于在政府采购活动中查询及使用信用记录有关问题的通知》</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财库〔2016〕125号</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的要求，</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 xml:space="preserve">将通过“信用中国”网站 </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(www.creditchina.gov.cn) 、“中国政府采购网”网站 (www.ccgp.gov.cn</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在递交投标文件截止之日的信用记录并保存信用记录结果网页截图，拒绝列入失信被执行人名单、重大税收违法案件当事人名单、政府采购严重违法失信行为记录名单中的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参加本项目的采购活动。</w:t>
      </w:r>
    </w:p>
    <w:p w14:paraId="0175AD82">
      <w:pPr>
        <w:tabs>
          <w:tab w:val="left" w:pos="148"/>
        </w:tabs>
        <w:spacing w:line="24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，不得参加本采购项目。</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在确定采购需求、编制招标文件过程中提供咨询论证，其提供的咨询论证意见成为招标文件中规定的</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资格条件、技术服务商务要求、评审因素和标准、采购合同等实质性内容条款的，视同为</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项目提供规范编制。</w:t>
      </w:r>
    </w:p>
    <w:p w14:paraId="10AC028A">
      <w:pPr>
        <w:spacing w:line="240" w:lineRule="auto"/>
        <w:ind w:firstLine="482" w:firstLineChars="200"/>
        <w:rPr>
          <w:rFonts w:ascii="宋体" w:hAnsi="宋体" w:eastAsia="宋体" w:cs="宋体"/>
          <w:b/>
          <w:bCs/>
          <w:color w:val="auto"/>
          <w:sz w:val="24"/>
          <w:szCs w:val="24"/>
          <w:highlight w:val="none"/>
        </w:rPr>
      </w:pPr>
      <w:bookmarkStart w:id="6" w:name="_Toc20036"/>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、招标文件获取</w:t>
      </w:r>
      <w:bookmarkEnd w:id="6"/>
    </w:p>
    <w:p w14:paraId="0931152A">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w:t>
      </w:r>
      <w:bookmarkStart w:id="209" w:name="_GoBack"/>
      <w:r>
        <w:rPr>
          <w:rFonts w:hint="eastAsia" w:ascii="宋体" w:hAnsi="宋体" w:eastAsia="宋体" w:cs="宋体"/>
          <w:b w:val="0"/>
          <w:bCs w:val="0"/>
          <w:color w:val="auto"/>
          <w:sz w:val="24"/>
          <w:szCs w:val="24"/>
          <w:highlight w:val="none"/>
        </w:rPr>
        <w:t>件自2024年</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日至2024年</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日9：00-12：00，14：00-17：00</w:t>
      </w:r>
      <w:r>
        <w:rPr>
          <w:rFonts w:hint="eastAsia" w:ascii="宋体" w:hAnsi="宋体" w:eastAsia="宋体" w:cs="宋体"/>
          <w:b w:val="0"/>
          <w:bCs w:val="0"/>
          <w:color w:val="auto"/>
          <w:sz w:val="24"/>
          <w:szCs w:val="24"/>
          <w:highlight w:val="none"/>
        </w:rPr>
        <w:t>可通过邮件获取，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文件售价300元/份（</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文件售后不退，</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资格不能转让）。</w:t>
      </w:r>
    </w:p>
    <w:p w14:paraId="130EE9CF">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收款账号名称：四川铭信工程招标咨询有限公司</w:t>
      </w:r>
    </w:p>
    <w:p w14:paraId="55423D59">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开户行：四川银行股份有限公司成都天府广场支行</w:t>
      </w:r>
    </w:p>
    <w:p w14:paraId="11D4B25A">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银行账号：78220100072502592。</w:t>
      </w:r>
    </w:p>
    <w:p w14:paraId="175487D6">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文件时将下列有效证明文件资料扫描发送至scmxgczx@163.com（邮箱名称）（邮件名称为XXXX公司XXX项目获取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文件资料）进行邮件获取，审核通过后获取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w:t>
      </w:r>
    </w:p>
    <w:p w14:paraId="117AF76C">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授权代表负责报名的应提供单位介绍信原件或授权委托书原件以及授权代表身份证复印件；法定代表人或单位负责人负责报名的应提供法人身份证明书以及法人身份证复印件。以上材料均须加盖</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公章。</w:t>
      </w:r>
    </w:p>
    <w:p w14:paraId="519408ED">
      <w:pPr>
        <w:tabs>
          <w:tab w:val="left" w:pos="148"/>
        </w:tabs>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注：开具单位介绍信或授权委托书时需写明项目名称、项目编号、授权代表姓名、手机号码、邮箱、及办理具体事宜等内容。</w:t>
      </w:r>
    </w:p>
    <w:p w14:paraId="1EC0C093">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、投标截止时间和开标时间：</w:t>
      </w:r>
      <w:r>
        <w:rPr>
          <w:rFonts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10:30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w:t>
      </w:r>
      <w:bookmarkEnd w:id="209"/>
      <w:r>
        <w:rPr>
          <w:rFonts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p>
    <w:p w14:paraId="7C238887">
      <w:pPr>
        <w:spacing w:line="240"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投标文件必须在投标截止时间前送达开标地点。逾期送达的投标文件不予接收。本次招标不接受邮寄的投标文件。</w:t>
      </w:r>
    </w:p>
    <w:p w14:paraId="5E129B0D">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、开标地点：</w:t>
      </w:r>
      <w:r>
        <w:rPr>
          <w:rFonts w:hint="eastAsia" w:ascii="宋体" w:hAnsi="宋体" w:eastAsia="宋体" w:cs="宋体"/>
          <w:b/>
          <w:bCs/>
          <w:color w:val="auto"/>
          <w:sz w:val="24"/>
          <w:szCs w:val="24"/>
          <w:highlight w:val="none"/>
          <w:lang w:val="en-US" w:eastAsia="zh-CN"/>
        </w:rPr>
        <w:t>成都市高新区环球中心N3区19楼18号四川铭信工程招标咨询有限公司</w:t>
      </w:r>
      <w:r>
        <w:rPr>
          <w:rFonts w:hint="eastAsia" w:ascii="宋体" w:hAnsi="宋体" w:eastAsia="宋体" w:cs="宋体"/>
          <w:b/>
          <w:bCs/>
          <w:color w:val="auto"/>
          <w:sz w:val="24"/>
          <w:szCs w:val="24"/>
          <w:highlight w:val="none"/>
        </w:rPr>
        <w:t>。</w:t>
      </w:r>
    </w:p>
    <w:p w14:paraId="13F94FCC">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、本投标邀请在中国招标投标公共服务平台（http://www.cebpubservice.com/）上以公告形式发布。 </w:t>
      </w:r>
    </w:p>
    <w:p w14:paraId="6B7B2201">
      <w:pPr>
        <w:spacing w:line="240" w:lineRule="auto"/>
        <w:ind w:firstLine="482" w:firstLineChars="200"/>
        <w:rPr>
          <w:rFonts w:ascii="宋体" w:hAnsi="宋体" w:eastAsia="宋体" w:cs="宋体"/>
          <w:b/>
          <w:bCs/>
          <w:color w:val="auto"/>
          <w:sz w:val="24"/>
          <w:szCs w:val="24"/>
          <w:highlight w:val="none"/>
        </w:rPr>
      </w:pPr>
      <w:bookmarkStart w:id="7" w:name="_Toc31952"/>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、联系方式</w:t>
      </w:r>
      <w:bookmarkEnd w:id="7"/>
    </w:p>
    <w:p w14:paraId="766AB7C6">
      <w:pPr>
        <w:spacing w:line="240" w:lineRule="auto"/>
        <w:ind w:firstLine="482" w:firstLineChars="200"/>
        <w:rPr>
          <w:rFonts w:hint="eastAsia" w:ascii="宋体" w:hAnsi="宋体" w:eastAsia="宋体" w:cs="宋体"/>
          <w:b/>
          <w:bCs/>
          <w:color w:val="auto"/>
          <w:sz w:val="24"/>
          <w:szCs w:val="24"/>
          <w:highlight w:val="none"/>
          <w:lang w:eastAsia="zh-CN"/>
        </w:rPr>
      </w:pPr>
      <w:bookmarkStart w:id="8" w:name="_Toc1539"/>
      <w:r>
        <w:rPr>
          <w:rFonts w:hint="eastAsia" w:ascii="宋体" w:hAnsi="宋体" w:eastAsia="宋体" w:cs="宋体"/>
          <w:b/>
          <w:bCs/>
          <w:color w:val="auto"/>
          <w:sz w:val="24"/>
          <w:szCs w:val="24"/>
          <w:highlight w:val="none"/>
        </w:rPr>
        <w:t>招标人：</w:t>
      </w:r>
      <w:bookmarkEnd w:id="8"/>
      <w:r>
        <w:rPr>
          <w:rFonts w:hint="eastAsia"/>
          <w:b/>
          <w:color w:val="auto"/>
          <w:sz w:val="24"/>
          <w:highlight w:val="none"/>
          <w:lang w:eastAsia="zh-CN"/>
        </w:rPr>
        <w:t>成都市技师学院</w:t>
      </w:r>
    </w:p>
    <w:p w14:paraId="2FC0D0C0">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hint="eastAsia" w:ascii="宋体" w:hAnsi="宋体"/>
          <w:color w:val="auto"/>
          <w:sz w:val="24"/>
          <w:highlight w:val="none"/>
          <w:lang w:eastAsia="zh-CN"/>
        </w:rPr>
        <w:t>成都市郫都区红光街道港通北三路1899号</w:t>
      </w:r>
    </w:p>
    <w:p w14:paraId="64741434">
      <w:pPr>
        <w:spacing w:line="24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联 系 人：</w:t>
      </w:r>
      <w:r>
        <w:rPr>
          <w:rFonts w:hint="eastAsia" w:ascii="宋体" w:hAnsi="宋体" w:cs="微软雅黑"/>
          <w:color w:val="auto"/>
          <w:sz w:val="24"/>
          <w:highlight w:val="none"/>
          <w:lang w:eastAsia="zh-CN"/>
        </w:rPr>
        <w:t>王老师</w:t>
      </w:r>
    </w:p>
    <w:p w14:paraId="529EA79E">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cs="微软雅黑"/>
          <w:color w:val="auto"/>
          <w:sz w:val="24"/>
          <w:highlight w:val="none"/>
          <w:lang w:eastAsia="zh-CN"/>
        </w:rPr>
        <w:t>028-64907283</w:t>
      </w:r>
    </w:p>
    <w:p w14:paraId="47FE8B41">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采购代理机构：四川铭信工程招标咨询有限公司 </w:t>
      </w:r>
    </w:p>
    <w:p w14:paraId="235CDA55">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址：成都市高新区高朋大道21号。</w:t>
      </w:r>
    </w:p>
    <w:p w14:paraId="053FC729">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    编：610000</w:t>
      </w:r>
    </w:p>
    <w:p w14:paraId="59623D12">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卢女士</w:t>
      </w:r>
    </w:p>
    <w:p w14:paraId="7AF3F245">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联系电话：</w:t>
      </w:r>
      <w:r>
        <w:rPr>
          <w:rFonts w:hint="eastAsia" w:ascii="宋体" w:hAnsi="宋体" w:cs="微软雅黑"/>
          <w:color w:val="auto"/>
          <w:sz w:val="24"/>
          <w:highlight w:val="none"/>
          <w:lang w:eastAsia="zh-CN"/>
        </w:rPr>
        <w:t>13558776674</w:t>
      </w:r>
    </w:p>
    <w:p w14:paraId="150A2CF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电子邮件：scmxgczx@163.com</w:t>
      </w:r>
    </w:p>
    <w:p w14:paraId="67439233">
      <w:pPr>
        <w:spacing w:line="240" w:lineRule="auto"/>
        <w:rPr>
          <w:color w:val="auto"/>
          <w:highlight w:val="none"/>
        </w:rPr>
      </w:pPr>
    </w:p>
    <w:p w14:paraId="243BE6D5">
      <w:pPr>
        <w:pStyle w:val="9"/>
        <w:spacing w:line="240" w:lineRule="auto"/>
        <w:rPr>
          <w:color w:val="auto"/>
          <w:highlight w:val="none"/>
        </w:rPr>
        <w:sectPr>
          <w:footerReference r:id="rId4" w:type="default"/>
          <w:pgSz w:w="11905" w:h="16838"/>
          <w:pgMar w:top="1417" w:right="1417" w:bottom="1417" w:left="1417" w:header="0" w:footer="1134" w:gutter="0"/>
          <w:pgNumType w:fmt="decimal" w:start="1"/>
          <w:cols w:space="425" w:num="1"/>
        </w:sectPr>
      </w:pPr>
    </w:p>
    <w:p w14:paraId="25BBA937">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9" w:name="_Toc205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第二章  投标人须知</w:t>
      </w:r>
      <w:bookmarkEnd w:id="9"/>
    </w:p>
    <w:p w14:paraId="685C2F23">
      <w:pPr>
        <w:spacing w:line="240" w:lineRule="auto"/>
        <w:rPr>
          <w:color w:val="auto"/>
          <w:highlight w:val="none"/>
        </w:rPr>
      </w:pPr>
    </w:p>
    <w:p w14:paraId="7722FBE5">
      <w:pPr>
        <w:spacing w:line="240" w:lineRule="auto"/>
        <w:ind w:firstLine="622" w:firstLineChars="200"/>
        <w:jc w:val="center"/>
        <w:outlineLvl w:val="1"/>
        <w:rPr>
          <w:rFonts w:ascii="宋体" w:hAnsi="宋体" w:eastAsia="宋体" w:cs="宋体"/>
          <w:b/>
          <w:bCs/>
          <w:color w:val="auto"/>
          <w:sz w:val="31"/>
          <w:szCs w:val="31"/>
          <w:highlight w:val="none"/>
        </w:rPr>
      </w:pPr>
      <w:bookmarkStart w:id="10" w:name="_Toc30521"/>
      <w:bookmarkStart w:id="11" w:name="_Toc8096"/>
      <w:r>
        <w:rPr>
          <w:rFonts w:hint="eastAsia" w:ascii="宋体" w:hAnsi="宋体" w:eastAsia="宋体" w:cs="宋体"/>
          <w:b/>
          <w:bCs/>
          <w:color w:val="auto"/>
          <w:sz w:val="31"/>
          <w:szCs w:val="31"/>
          <w:highlight w:val="none"/>
        </w:rPr>
        <w:t>一、投标人须知附表</w:t>
      </w:r>
      <w:bookmarkEnd w:id="10"/>
      <w:bookmarkEnd w:id="11"/>
    </w:p>
    <w:tbl>
      <w:tblPr>
        <w:tblStyle w:val="23"/>
        <w:tblW w:w="9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750"/>
        <w:gridCol w:w="6898"/>
      </w:tblGrid>
      <w:tr w14:paraId="2E5450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56" w:type="dxa"/>
            <w:tcBorders>
              <w:tl2br w:val="nil"/>
              <w:tr2bl w:val="nil"/>
            </w:tcBorders>
            <w:vAlign w:val="center"/>
          </w:tcPr>
          <w:p w14:paraId="17C80E16">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50" w:type="dxa"/>
            <w:tcBorders>
              <w:tl2br w:val="nil"/>
              <w:tr2bl w:val="nil"/>
            </w:tcBorders>
            <w:vAlign w:val="center"/>
          </w:tcPr>
          <w:p w14:paraId="1AF7B2F3">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6898" w:type="dxa"/>
            <w:tcBorders>
              <w:tl2br w:val="nil"/>
              <w:tr2bl w:val="nil"/>
            </w:tcBorders>
            <w:vAlign w:val="center"/>
          </w:tcPr>
          <w:p w14:paraId="601CC434">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说明和要求</w:t>
            </w:r>
          </w:p>
        </w:tc>
      </w:tr>
      <w:tr w14:paraId="683F7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856" w:type="dxa"/>
            <w:tcBorders>
              <w:tl2br w:val="nil"/>
              <w:tr2bl w:val="nil"/>
            </w:tcBorders>
            <w:vAlign w:val="center"/>
          </w:tcPr>
          <w:p w14:paraId="64EB3D31">
            <w:pPr>
              <w:spacing w:line="240" w:lineRule="auto"/>
              <w:jc w:val="center"/>
              <w:rPr>
                <w:color w:val="auto"/>
                <w:sz w:val="24"/>
                <w:szCs w:val="24"/>
                <w:highlight w:val="none"/>
              </w:rPr>
            </w:pPr>
          </w:p>
          <w:p w14:paraId="0BB11F5E">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50" w:type="dxa"/>
            <w:tcBorders>
              <w:tl2br w:val="nil"/>
              <w:tr2bl w:val="nil"/>
            </w:tcBorders>
            <w:vAlign w:val="center"/>
          </w:tcPr>
          <w:p w14:paraId="1ECEA9DF">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项目预算</w:t>
            </w:r>
          </w:p>
          <w:p w14:paraId="50A2058F">
            <w:pPr>
              <w:pStyle w:val="9"/>
              <w:jc w:val="center"/>
              <w:rPr>
                <w:rFonts w:hint="eastAsia"/>
                <w:lang w:val="en-US" w:eastAsia="zh-CN"/>
              </w:rPr>
            </w:pPr>
            <w:r>
              <w:rPr>
                <w:rFonts w:hint="eastAsia" w:ascii="宋体" w:hAnsi="宋体" w:eastAsia="宋体" w:cs="宋体"/>
                <w:b/>
                <w:bCs/>
                <w:color w:val="auto"/>
                <w:sz w:val="24"/>
                <w:szCs w:val="24"/>
                <w:highlight w:val="none"/>
                <w:lang w:val="en-US" w:eastAsia="zh-CN"/>
              </w:rPr>
              <w:t>（实质性要求）</w:t>
            </w:r>
          </w:p>
        </w:tc>
        <w:tc>
          <w:tcPr>
            <w:tcW w:w="6898" w:type="dxa"/>
            <w:tcBorders>
              <w:tl2br w:val="nil"/>
              <w:tr2bl w:val="nil"/>
            </w:tcBorders>
            <w:vAlign w:val="center"/>
          </w:tcPr>
          <w:p w14:paraId="511E50D0">
            <w:pPr>
              <w:spacing w:line="240" w:lineRule="auto"/>
              <w:jc w:val="both"/>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项目预算：</w:t>
            </w:r>
            <w:r>
              <w:rPr>
                <w:rFonts w:hint="eastAsia" w:ascii="宋体" w:hAnsi="宋体" w:eastAsia="宋体" w:cs="宋体"/>
                <w:color w:val="auto"/>
                <w:sz w:val="24"/>
                <w:szCs w:val="24"/>
                <w:highlight w:val="none"/>
                <w:lang w:val="en-US" w:eastAsia="zh-CN"/>
              </w:rPr>
              <w:t>32.0万元</w:t>
            </w:r>
          </w:p>
        </w:tc>
      </w:tr>
      <w:tr w14:paraId="31D86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56" w:type="dxa"/>
            <w:tcBorders>
              <w:tl2br w:val="nil"/>
              <w:tr2bl w:val="nil"/>
            </w:tcBorders>
            <w:vAlign w:val="center"/>
          </w:tcPr>
          <w:p w14:paraId="0E1F4D4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50" w:type="dxa"/>
            <w:tcBorders>
              <w:tl2br w:val="nil"/>
              <w:tr2bl w:val="nil"/>
            </w:tcBorders>
            <w:shd w:val="clear" w:color="auto" w:fill="auto"/>
            <w:vAlign w:val="center"/>
          </w:tcPr>
          <w:p w14:paraId="242AB07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14:paraId="5551E892">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shd w:val="clear" w:color="auto" w:fill="auto"/>
            <w:vAlign w:val="center"/>
          </w:tcPr>
          <w:p w14:paraId="3268A0C0">
            <w:pPr>
              <w:spacing w:line="240" w:lineRule="auto"/>
              <w:jc w:val="both"/>
              <w:rPr>
                <w:rFonts w:hint="eastAsia" w:ascii="宋体" w:hAnsi="宋体" w:eastAsia="宋体" w:cs="宋体"/>
                <w:color w:val="auto"/>
                <w:sz w:val="24"/>
                <w:szCs w:val="24"/>
                <w:highlight w:val="none"/>
                <w:lang w:val="en-US" w:eastAsia="zh-CN"/>
              </w:rPr>
            </w:pPr>
            <w:r>
              <w:rPr>
                <w:rFonts w:ascii="宋体" w:hAnsi="宋体" w:eastAsia="宋体" w:cs="宋体"/>
                <w:b/>
                <w:bCs/>
                <w:color w:val="auto"/>
                <w:sz w:val="24"/>
                <w:szCs w:val="24"/>
                <w:highlight w:val="none"/>
              </w:rPr>
              <w:t>最高限价：</w:t>
            </w:r>
            <w:r>
              <w:rPr>
                <w:rFonts w:hint="eastAsia" w:ascii="宋体" w:hAnsi="宋体" w:eastAsia="宋体" w:cs="宋体"/>
                <w:color w:val="auto"/>
                <w:sz w:val="24"/>
                <w:szCs w:val="24"/>
                <w:highlight w:val="none"/>
                <w:lang w:val="en-US" w:eastAsia="zh-CN"/>
              </w:rPr>
              <w:t>32.0万元</w:t>
            </w:r>
            <w:r>
              <w:rPr>
                <w:rFonts w:hint="eastAsia" w:ascii="宋体" w:hAnsi="宋体" w:eastAsia="宋体" w:cs="宋体"/>
                <w:b/>
                <w:bCs/>
                <w:color w:val="auto"/>
                <w:sz w:val="24"/>
                <w:szCs w:val="24"/>
                <w:highlight w:val="none"/>
              </w:rPr>
              <w:t>。</w:t>
            </w:r>
          </w:p>
          <w:p w14:paraId="4AB6C4FC">
            <w:pPr>
              <w:spacing w:line="240" w:lineRule="auto"/>
              <w:jc w:val="both"/>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z w:val="24"/>
                <w:szCs w:val="24"/>
                <w:highlight w:val="none"/>
              </w:rPr>
              <w:t>超过最高限价的报价为无效投标。</w:t>
            </w:r>
          </w:p>
        </w:tc>
      </w:tr>
      <w:tr w14:paraId="65B374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6" w:type="dxa"/>
            <w:tcBorders>
              <w:tl2br w:val="nil"/>
              <w:tr2bl w:val="nil"/>
            </w:tcBorders>
            <w:vAlign w:val="center"/>
          </w:tcPr>
          <w:p w14:paraId="0E7F7E9A">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750" w:type="dxa"/>
            <w:tcBorders>
              <w:tl2br w:val="nil"/>
              <w:tr2bl w:val="nil"/>
            </w:tcBorders>
            <w:vAlign w:val="center"/>
          </w:tcPr>
          <w:p w14:paraId="4B84C5A7">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8" w:type="dxa"/>
            <w:tcBorders>
              <w:tl2br w:val="nil"/>
              <w:tr2bl w:val="nil"/>
            </w:tcBorders>
            <w:vAlign w:val="center"/>
          </w:tcPr>
          <w:p w14:paraId="67AA46EB">
            <w:pPr>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30519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1EA42FF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c>
          <w:tcPr>
            <w:tcW w:w="1750" w:type="dxa"/>
            <w:tcBorders>
              <w:tl2br w:val="nil"/>
              <w:tr2bl w:val="nil"/>
            </w:tcBorders>
            <w:vAlign w:val="center"/>
          </w:tcPr>
          <w:p w14:paraId="093C26BC">
            <w:pPr>
              <w:pStyle w:val="24"/>
              <w:spacing w:line="240" w:lineRule="auto"/>
              <w:ind w:left="96"/>
              <w:jc w:val="center"/>
              <w:rPr>
                <w:rFonts w:ascii="宋体" w:hAnsi="宋体" w:eastAsia="宋体" w:cs="宋体"/>
                <w:b/>
                <w:bCs/>
                <w:color w:val="auto"/>
                <w:sz w:val="24"/>
                <w:szCs w:val="24"/>
                <w:highlight w:val="none"/>
              </w:rPr>
            </w:pPr>
            <w:r>
              <w:rPr>
                <w:rFonts w:hint="eastAsia"/>
                <w:snapToGrid w:val="0"/>
                <w:color w:val="auto"/>
                <w:sz w:val="24"/>
                <w:szCs w:val="24"/>
                <w:highlight w:val="none"/>
                <w:lang w:val="zh-CN"/>
              </w:rPr>
              <w:t>评标方法</w:t>
            </w:r>
          </w:p>
        </w:tc>
        <w:tc>
          <w:tcPr>
            <w:tcW w:w="6898" w:type="dxa"/>
            <w:tcBorders>
              <w:tl2br w:val="nil"/>
              <w:tr2bl w:val="nil"/>
            </w:tcBorders>
            <w:vAlign w:val="center"/>
          </w:tcPr>
          <w:p w14:paraId="74880AE0">
            <w:pPr>
              <w:pStyle w:val="24"/>
              <w:spacing w:line="240" w:lineRule="auto"/>
              <w:rPr>
                <w:rFonts w:ascii="宋体" w:hAnsi="宋体" w:eastAsia="宋体" w:cs="宋体"/>
                <w:color w:val="auto"/>
                <w:sz w:val="24"/>
                <w:szCs w:val="24"/>
                <w:highlight w:val="none"/>
              </w:rPr>
            </w:pPr>
            <w:r>
              <w:rPr>
                <w:rFonts w:hint="eastAsia"/>
                <w:snapToGrid w:val="0"/>
                <w:color w:val="auto"/>
                <w:sz w:val="24"/>
                <w:szCs w:val="24"/>
                <w:highlight w:val="none"/>
                <w:lang w:val="zh-CN"/>
              </w:rPr>
              <w:t>综合评分法(详见第</w:t>
            </w:r>
            <w:r>
              <w:rPr>
                <w:rFonts w:hint="eastAsia"/>
                <w:snapToGrid w:val="0"/>
                <w:color w:val="auto"/>
                <w:sz w:val="24"/>
                <w:szCs w:val="24"/>
                <w:highlight w:val="none"/>
              </w:rPr>
              <w:t>七</w:t>
            </w:r>
            <w:r>
              <w:rPr>
                <w:rFonts w:hint="eastAsia"/>
                <w:snapToGrid w:val="0"/>
                <w:color w:val="auto"/>
                <w:sz w:val="24"/>
                <w:szCs w:val="24"/>
                <w:highlight w:val="none"/>
                <w:lang w:val="zh-CN"/>
              </w:rPr>
              <w:t>章)</w:t>
            </w:r>
          </w:p>
        </w:tc>
      </w:tr>
      <w:tr w14:paraId="7F13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75FA0B94">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0" w:type="dxa"/>
            <w:tcBorders>
              <w:tl2br w:val="nil"/>
              <w:tr2bl w:val="nil"/>
            </w:tcBorders>
            <w:vAlign w:val="center"/>
          </w:tcPr>
          <w:p w14:paraId="04334D8D">
            <w:pPr>
              <w:spacing w:line="240" w:lineRule="auto"/>
              <w:jc w:val="center"/>
              <w:rPr>
                <w:snapToGrid w:val="0"/>
                <w:color w:val="auto"/>
                <w:sz w:val="24"/>
                <w:szCs w:val="24"/>
                <w:highlight w:val="none"/>
              </w:rPr>
            </w:pPr>
            <w:r>
              <w:rPr>
                <w:rFonts w:hint="eastAsia" w:ascii="宋体" w:hAnsi="宋体" w:eastAsia="宋体" w:cs="宋体"/>
                <w:b/>
                <w:bCs/>
                <w:color w:val="auto"/>
                <w:sz w:val="24"/>
                <w:szCs w:val="24"/>
                <w:highlight w:val="none"/>
              </w:rPr>
              <w:t>是否专门面向中小企业</w:t>
            </w:r>
          </w:p>
        </w:tc>
        <w:tc>
          <w:tcPr>
            <w:tcW w:w="6898" w:type="dxa"/>
            <w:tcBorders>
              <w:tl2br w:val="nil"/>
              <w:tr2bl w:val="nil"/>
            </w:tcBorders>
            <w:vAlign w:val="center"/>
          </w:tcPr>
          <w:p w14:paraId="473DA5CF">
            <w:pPr>
              <w:spacing w:line="240" w:lineRule="auto"/>
              <w:jc w:val="both"/>
              <w:rPr>
                <w:snapToGrid w:val="0"/>
                <w:color w:val="auto"/>
                <w:sz w:val="24"/>
                <w:szCs w:val="24"/>
                <w:highlight w:val="none"/>
              </w:rPr>
            </w:pPr>
            <w:r>
              <w:rPr>
                <w:rFonts w:hint="eastAsia" w:ascii="宋体" w:hAnsi="宋体" w:eastAsia="宋体" w:cs="宋体"/>
                <w:b/>
                <w:bCs/>
                <w:color w:val="auto"/>
                <w:sz w:val="24"/>
                <w:szCs w:val="24"/>
                <w:highlight w:val="none"/>
              </w:rPr>
              <w:t>本项目专门面向中小企业：是□；否</w:t>
            </w:r>
            <w:r>
              <w:rPr>
                <w:rFonts w:hint="eastAsia" w:ascii="宋体" w:hAnsi="宋体" w:eastAsia="宋体" w:cs="宋体"/>
                <w:b/>
                <w:bCs/>
                <w:color w:val="auto"/>
                <w:sz w:val="24"/>
                <w:szCs w:val="24"/>
                <w:highlight w:val="none"/>
                <w:lang w:eastAsia="zh-CN"/>
              </w:rPr>
              <w:sym w:font="Wingdings" w:char="00FE"/>
            </w:r>
            <w:r>
              <w:rPr>
                <w:rFonts w:hint="eastAsia" w:ascii="宋体" w:hAnsi="宋体" w:eastAsia="宋体" w:cs="宋体"/>
                <w:b/>
                <w:bCs/>
                <w:color w:val="auto"/>
                <w:sz w:val="24"/>
                <w:szCs w:val="24"/>
                <w:highlight w:val="none"/>
              </w:rPr>
              <w:t>；</w:t>
            </w:r>
          </w:p>
        </w:tc>
      </w:tr>
      <w:tr w14:paraId="27481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856" w:type="dxa"/>
            <w:tcBorders>
              <w:tl2br w:val="nil"/>
              <w:tr2bl w:val="nil"/>
            </w:tcBorders>
            <w:vAlign w:val="center"/>
          </w:tcPr>
          <w:p w14:paraId="55D5F894">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0" w:type="dxa"/>
            <w:tcBorders>
              <w:tl2br w:val="nil"/>
              <w:tr2bl w:val="nil"/>
            </w:tcBorders>
            <w:vAlign w:val="center"/>
          </w:tcPr>
          <w:p w14:paraId="7EBBC4DF">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p w14:paraId="30D76937">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14:paraId="7E577375">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本项目不允许联合体投标。</w:t>
            </w:r>
          </w:p>
        </w:tc>
      </w:tr>
      <w:tr w14:paraId="5291C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56" w:type="dxa"/>
            <w:tcBorders>
              <w:tl2br w:val="nil"/>
              <w:tr2bl w:val="nil"/>
            </w:tcBorders>
            <w:shd w:val="clear" w:color="auto" w:fill="auto"/>
            <w:vAlign w:val="center"/>
          </w:tcPr>
          <w:p w14:paraId="48E6CF4B">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7</w:t>
            </w:r>
          </w:p>
        </w:tc>
        <w:tc>
          <w:tcPr>
            <w:tcW w:w="1750" w:type="dxa"/>
            <w:tcBorders>
              <w:tl2br w:val="nil"/>
              <w:tr2bl w:val="nil"/>
            </w:tcBorders>
            <w:vAlign w:val="center"/>
          </w:tcPr>
          <w:p w14:paraId="55C73C71">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进口产品</w:t>
            </w:r>
          </w:p>
        </w:tc>
        <w:tc>
          <w:tcPr>
            <w:tcW w:w="6898" w:type="dxa"/>
            <w:tcBorders>
              <w:tl2br w:val="nil"/>
              <w:tr2bl w:val="nil"/>
            </w:tcBorders>
            <w:vAlign w:val="center"/>
          </w:tcPr>
          <w:p w14:paraId="69080091">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本项目不涉及进口产品。</w:t>
            </w:r>
          </w:p>
        </w:tc>
      </w:tr>
      <w:tr w14:paraId="5BB615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856" w:type="dxa"/>
            <w:tcBorders>
              <w:tl2br w:val="nil"/>
              <w:tr2bl w:val="nil"/>
            </w:tcBorders>
            <w:shd w:val="clear" w:color="auto" w:fill="auto"/>
            <w:vAlign w:val="center"/>
          </w:tcPr>
          <w:p w14:paraId="2E8F45C0">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8</w:t>
            </w:r>
          </w:p>
        </w:tc>
        <w:tc>
          <w:tcPr>
            <w:tcW w:w="1750" w:type="dxa"/>
            <w:tcBorders>
              <w:tl2br w:val="nil"/>
              <w:tr2bl w:val="nil"/>
            </w:tcBorders>
            <w:vAlign w:val="center"/>
          </w:tcPr>
          <w:p w14:paraId="29F97EEB">
            <w:pPr>
              <w:spacing w:line="240" w:lineRule="auto"/>
              <w:jc w:val="center"/>
              <w:rPr>
                <w:color w:val="auto"/>
                <w:sz w:val="24"/>
                <w:szCs w:val="24"/>
                <w:highlight w:val="none"/>
              </w:rPr>
            </w:pPr>
          </w:p>
          <w:p w14:paraId="26A7D063">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低于成本价不正当竞争预防措施</w:t>
            </w:r>
          </w:p>
          <w:p w14:paraId="14D4CADC">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tcPr>
          <w:p w14:paraId="406902F7">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 (应根据供应商企业类型予以区别) 、税金及附加、销售费用、管理费用、财务费用等成本构成事项详细陈述。</w:t>
            </w:r>
          </w:p>
          <w:p w14:paraId="1C4BCD14">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供应商书面说明应当签字确认或者加盖公章，否则无效。书面说明的签字确认，供应商为法人的，由其法定代表人或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签字确认；供应商为其他组织的，由其主要负责人或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签字确认；供应商为自然人的，由其本人或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w:t>
            </w:r>
          </w:p>
          <w:p w14:paraId="10CCB84B">
            <w:pPr>
              <w:spacing w:line="240" w:lineRule="auto"/>
              <w:ind w:firstLine="481"/>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108DB4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shd w:val="clear" w:color="auto" w:fill="auto"/>
            <w:vAlign w:val="center"/>
          </w:tcPr>
          <w:p w14:paraId="010892CE">
            <w:pPr>
              <w:spacing w:before="75"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9</w:t>
            </w:r>
          </w:p>
        </w:tc>
        <w:tc>
          <w:tcPr>
            <w:tcW w:w="1750" w:type="dxa"/>
            <w:tcBorders>
              <w:tl2br w:val="nil"/>
              <w:tr2bl w:val="nil"/>
            </w:tcBorders>
            <w:vAlign w:val="center"/>
          </w:tcPr>
          <w:p w14:paraId="6B68D6E5">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促进中小企业发展</w:t>
            </w:r>
          </w:p>
        </w:tc>
        <w:tc>
          <w:tcPr>
            <w:tcW w:w="6898" w:type="dxa"/>
            <w:tcBorders>
              <w:tl2br w:val="nil"/>
              <w:tr2bl w:val="nil"/>
            </w:tcBorders>
          </w:tcPr>
          <w:p w14:paraId="22CAC902">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促进中小企业发展 (监狱企业、残疾人福利性单位视同小微企业)</w:t>
            </w:r>
          </w:p>
          <w:p w14:paraId="6EBACB00">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1.根据《政府采购促进中小企业发展管理办法》（财库[2020]46号）和《关于进一步加大政府采购支持中小企业力度的通知》（财库〔2022〕19 号）的规定，对小型和微型企业产品的价格给予10%的价格扣除，用扣除后的价格参与评审。</w:t>
            </w:r>
          </w:p>
          <w:p w14:paraId="4AD9DDBD">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的中小企业应当提供《中小企业声明函》原件。监狱企业应当提供《监狱企业证明》原件。残疾人福利性单位应当提供《残疾人福利性单位声明函》原件。未提供的，视为放弃享受小微企业价格扣除优惠政策。</w:t>
            </w:r>
          </w:p>
          <w:p w14:paraId="32DDE3E6">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3．根据《三部门联合发布关于促进残疾人就业政府采购政策的通知》（财库 〔2017〕141 号）的规定，残疾人福利性单位属于小型、微型企业的，不重复享受政策。参加采购活动的残疾人福利性单位应当提供《残疾人福利性单位声明函》原件（本项目成交供应商属于残疾人福利性单位的，在结果公告中将同时公示其声明函）。 </w:t>
            </w:r>
          </w:p>
          <w:p w14:paraId="60382D30">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4.供应商在参加采购活动时，提供以上虚假声明或证明材料的，按《中华人民共和国政府采购法》第七十七条规定处理。 </w:t>
            </w:r>
          </w:p>
          <w:p w14:paraId="344838A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符合中小企业划型标准的个体工商户，在采购活动中视同中小企业。</w:t>
            </w:r>
          </w:p>
        </w:tc>
      </w:tr>
      <w:tr w14:paraId="4101E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0" w:hRule="atLeast"/>
          <w:jc w:val="center"/>
        </w:trPr>
        <w:tc>
          <w:tcPr>
            <w:tcW w:w="856" w:type="dxa"/>
            <w:tcBorders>
              <w:tl2br w:val="nil"/>
              <w:tr2bl w:val="nil"/>
            </w:tcBorders>
            <w:shd w:val="clear" w:color="auto" w:fill="auto"/>
            <w:vAlign w:val="center"/>
          </w:tcPr>
          <w:p w14:paraId="621C33A7">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10</w:t>
            </w:r>
          </w:p>
        </w:tc>
        <w:tc>
          <w:tcPr>
            <w:tcW w:w="1750" w:type="dxa"/>
            <w:tcBorders>
              <w:tl2br w:val="nil"/>
              <w:tr2bl w:val="nil"/>
            </w:tcBorders>
            <w:vAlign w:val="center"/>
          </w:tcPr>
          <w:p w14:paraId="18F5F0B0">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本项目标的名称及所属行业</w:t>
            </w:r>
          </w:p>
        </w:tc>
        <w:tc>
          <w:tcPr>
            <w:tcW w:w="6898" w:type="dxa"/>
            <w:tcBorders>
              <w:tl2br w:val="nil"/>
              <w:tr2bl w:val="nil"/>
            </w:tcBorders>
            <w:vAlign w:val="center"/>
          </w:tcPr>
          <w:tbl>
            <w:tblPr>
              <w:tblStyle w:val="18"/>
              <w:tblpPr w:leftFromText="180" w:rightFromText="180" w:vertAnchor="text" w:horzAnchor="page" w:tblpX="521" w:tblpY="56"/>
              <w:tblOverlap w:val="never"/>
              <w:tblW w:w="5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71"/>
              <w:gridCol w:w="527"/>
              <w:gridCol w:w="1637"/>
              <w:gridCol w:w="691"/>
              <w:gridCol w:w="747"/>
            </w:tblGrid>
            <w:tr w14:paraId="4830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04" w:type="dxa"/>
                  <w:noWrap w:val="0"/>
                  <w:vAlign w:val="center"/>
                </w:tcPr>
                <w:p w14:paraId="15FD90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标的名称</w:t>
                  </w:r>
                </w:p>
              </w:tc>
              <w:tc>
                <w:tcPr>
                  <w:tcW w:w="571" w:type="dxa"/>
                  <w:noWrap w:val="0"/>
                  <w:vAlign w:val="center"/>
                </w:tcPr>
                <w:p w14:paraId="22D6EE5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rPr>
                    <w:t>计量单位</w:t>
                  </w:r>
                </w:p>
              </w:tc>
              <w:tc>
                <w:tcPr>
                  <w:tcW w:w="527" w:type="dxa"/>
                  <w:noWrap w:val="0"/>
                  <w:vAlign w:val="center"/>
                </w:tcPr>
                <w:p w14:paraId="01A146A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数量</w:t>
                  </w:r>
                </w:p>
              </w:tc>
              <w:tc>
                <w:tcPr>
                  <w:tcW w:w="1637" w:type="dxa"/>
                  <w:noWrap w:val="0"/>
                  <w:vAlign w:val="center"/>
                </w:tcPr>
                <w:p w14:paraId="6745761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lang w:val="en-US" w:eastAsia="zh-CN"/>
                    </w:rPr>
                    <w:t>所属</w:t>
                  </w:r>
                </w:p>
                <w:p w14:paraId="25C14BC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lang w:val="en-US" w:eastAsia="zh-CN"/>
                    </w:rPr>
                    <w:t>行业</w:t>
                  </w:r>
                </w:p>
              </w:tc>
              <w:tc>
                <w:tcPr>
                  <w:tcW w:w="691" w:type="dxa"/>
                  <w:noWrap w:val="0"/>
                  <w:vAlign w:val="center"/>
                </w:tcPr>
                <w:p w14:paraId="1D8205E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lang w:val="en-US" w:eastAsia="zh-CN"/>
                    </w:rPr>
                    <w:t>是否核心产品</w:t>
                  </w:r>
                </w:p>
              </w:tc>
              <w:tc>
                <w:tcPr>
                  <w:tcW w:w="747" w:type="dxa"/>
                  <w:noWrap w:val="0"/>
                  <w:vAlign w:val="center"/>
                </w:tcPr>
                <w:p w14:paraId="120436F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是否</w:t>
                  </w:r>
                </w:p>
                <w:p w14:paraId="1187ED9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
                      <w:bCs w:val="0"/>
                      <w:i w:val="0"/>
                      <w:iCs w:val="0"/>
                      <w:color w:val="auto"/>
                      <w:sz w:val="21"/>
                      <w:szCs w:val="21"/>
                      <w:highlight w:val="none"/>
                    </w:rPr>
                    <w:t>进口</w:t>
                  </w:r>
                </w:p>
              </w:tc>
            </w:tr>
            <w:tr w14:paraId="7B88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045CB5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bCs w:val="0"/>
                      <w:spacing w:val="-3"/>
                      <w:kern w:val="0"/>
                      <w:sz w:val="21"/>
                      <w:szCs w:val="21"/>
                      <w:highlight w:val="none"/>
                      <w:u w:val="none"/>
                      <w:lang w:val="en-US" w:eastAsia="zh-Hans"/>
                    </w:rPr>
                    <w:t>路桥施工</w:t>
                  </w:r>
                  <w:r>
                    <w:rPr>
                      <w:rFonts w:hint="eastAsia" w:ascii="宋体" w:hAnsi="宋体" w:eastAsia="宋体" w:cs="宋体"/>
                      <w:spacing w:val="-3"/>
                      <w:kern w:val="0"/>
                      <w:sz w:val="21"/>
                      <w:szCs w:val="21"/>
                      <w:lang w:val="en-US" w:eastAsia="zh-Hans" w:bidi="ar-SA"/>
                    </w:rPr>
                    <w:t>实训云平台</w:t>
                  </w:r>
                </w:p>
              </w:tc>
              <w:tc>
                <w:tcPr>
                  <w:tcW w:w="571" w:type="dxa"/>
                  <w:noWrap w:val="0"/>
                  <w:vAlign w:val="center"/>
                </w:tcPr>
                <w:p w14:paraId="3FCDB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套</w:t>
                  </w:r>
                </w:p>
              </w:tc>
              <w:tc>
                <w:tcPr>
                  <w:tcW w:w="527" w:type="dxa"/>
                  <w:noWrap w:val="0"/>
                  <w:vAlign w:val="center"/>
                </w:tcPr>
                <w:p w14:paraId="523FA0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w:t>
                  </w:r>
                </w:p>
              </w:tc>
              <w:tc>
                <w:tcPr>
                  <w:tcW w:w="1637" w:type="dxa"/>
                  <w:noWrap w:val="0"/>
                  <w:vAlign w:val="center"/>
                </w:tcPr>
                <w:p w14:paraId="67ED73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Han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3AB0385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4344B97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3230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1B3E97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专业知识问答模拟</w:t>
                  </w:r>
                  <w:r>
                    <w:rPr>
                      <w:rFonts w:hint="eastAsia" w:ascii="宋体" w:hAnsi="宋体" w:eastAsia="宋体" w:cs="宋体"/>
                      <w:spacing w:val="-3"/>
                      <w:kern w:val="0"/>
                      <w:sz w:val="21"/>
                      <w:szCs w:val="21"/>
                      <w:lang w:val="en-US" w:eastAsia="zh-Hans" w:bidi="ar-SA"/>
                    </w:rPr>
                    <w:t>模块</w:t>
                  </w:r>
                </w:p>
              </w:tc>
              <w:tc>
                <w:tcPr>
                  <w:tcW w:w="571" w:type="dxa"/>
                  <w:noWrap w:val="0"/>
                  <w:vAlign w:val="center"/>
                </w:tcPr>
                <w:p w14:paraId="073F2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472FB5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US"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00B52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CE73B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47BA1E3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4F2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4" w:type="dxa"/>
                  <w:noWrap w:val="0"/>
                  <w:vAlign w:val="center"/>
                </w:tcPr>
                <w:p w14:paraId="5B0004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w:t>
                  </w:r>
                  <w:r>
                    <w:rPr>
                      <w:rFonts w:hint="eastAsia" w:ascii="宋体" w:hAnsi="宋体" w:eastAsia="宋体" w:cs="宋体"/>
                      <w:spacing w:val="-3"/>
                      <w:kern w:val="0"/>
                      <w:sz w:val="21"/>
                      <w:szCs w:val="21"/>
                      <w:lang w:val="en-AU" w:eastAsia="en-US" w:bidi="ar-SA"/>
                    </w:rPr>
                    <w:t>施工工艺模拟实操模块</w:t>
                  </w:r>
                </w:p>
              </w:tc>
              <w:tc>
                <w:tcPr>
                  <w:tcW w:w="571" w:type="dxa"/>
                  <w:noWrap w:val="0"/>
                  <w:vAlign w:val="center"/>
                </w:tcPr>
                <w:p w14:paraId="178C4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0150E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46300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4467B9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bCs w:val="0"/>
                      <w:i w:val="0"/>
                      <w:iCs w:val="0"/>
                      <w:color w:val="auto"/>
                      <w:sz w:val="21"/>
                      <w:szCs w:val="21"/>
                      <w:highlight w:val="none"/>
                    </w:rPr>
                    <w:sym w:font="Wingdings 2" w:char="0052"/>
                  </w:r>
                  <w:r>
                    <w:rPr>
                      <w:rFonts w:hint="eastAsia" w:ascii="宋体" w:hAnsi="宋体" w:eastAsia="宋体" w:cs="宋体"/>
                      <w:b/>
                      <w:bCs w:val="0"/>
                      <w:i w:val="0"/>
                      <w:iCs w:val="0"/>
                      <w:color w:val="auto"/>
                      <w:sz w:val="21"/>
                      <w:szCs w:val="21"/>
                      <w:highlight w:val="none"/>
                    </w:rPr>
                    <w:t>是</w:t>
                  </w:r>
                </w:p>
              </w:tc>
              <w:tc>
                <w:tcPr>
                  <w:tcW w:w="747" w:type="dxa"/>
                  <w:noWrap w:val="0"/>
                  <w:vAlign w:val="center"/>
                </w:tcPr>
                <w:p w14:paraId="5BDC6C5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r w14:paraId="3C94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04" w:type="dxa"/>
                  <w:noWrap w:val="0"/>
                  <w:vAlign w:val="center"/>
                </w:tcPr>
                <w:p w14:paraId="5FD525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路桥</w:t>
                  </w:r>
                  <w:r>
                    <w:rPr>
                      <w:rFonts w:hint="eastAsia" w:ascii="宋体" w:hAnsi="宋体" w:eastAsia="宋体" w:cs="宋体"/>
                      <w:spacing w:val="-3"/>
                      <w:kern w:val="0"/>
                      <w:sz w:val="21"/>
                      <w:szCs w:val="21"/>
                      <w:lang w:val="en-AU" w:eastAsia="en-US" w:bidi="ar-SA"/>
                    </w:rPr>
                    <w:t>施工组织管理案例实操管理模块</w:t>
                  </w:r>
                </w:p>
              </w:tc>
              <w:tc>
                <w:tcPr>
                  <w:tcW w:w="571" w:type="dxa"/>
                  <w:noWrap w:val="0"/>
                  <w:vAlign w:val="center"/>
                </w:tcPr>
                <w:p w14:paraId="5F490B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节点</w:t>
                  </w:r>
                </w:p>
              </w:tc>
              <w:tc>
                <w:tcPr>
                  <w:tcW w:w="527" w:type="dxa"/>
                  <w:noWrap w:val="0"/>
                  <w:vAlign w:val="center"/>
                </w:tcPr>
                <w:p w14:paraId="3982FC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50</w:t>
                  </w:r>
                </w:p>
              </w:tc>
              <w:tc>
                <w:tcPr>
                  <w:tcW w:w="1637" w:type="dxa"/>
                  <w:noWrap w:val="0"/>
                  <w:vAlign w:val="center"/>
                </w:tcPr>
                <w:p w14:paraId="5721D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Hans" w:bidi="ar-SA"/>
                    </w:rPr>
                    <w:t>软件和信息技术服务业</w:t>
                  </w:r>
                </w:p>
              </w:tc>
              <w:tc>
                <w:tcPr>
                  <w:tcW w:w="691" w:type="dxa"/>
                  <w:noWrap w:val="0"/>
                  <w:vAlign w:val="center"/>
                </w:tcPr>
                <w:p w14:paraId="6F14900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c>
                <w:tcPr>
                  <w:tcW w:w="747" w:type="dxa"/>
                  <w:noWrap w:val="0"/>
                  <w:vAlign w:val="center"/>
                </w:tcPr>
                <w:p w14:paraId="12AD24C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sym w:font="Wingdings 2" w:char="0052"/>
                  </w:r>
                  <w:r>
                    <w:rPr>
                      <w:rFonts w:hint="eastAsia" w:ascii="宋体" w:hAnsi="宋体" w:eastAsia="宋体" w:cs="宋体"/>
                      <w:b w:val="0"/>
                      <w:bCs/>
                      <w:i w:val="0"/>
                      <w:iCs w:val="0"/>
                      <w:color w:val="auto"/>
                      <w:sz w:val="21"/>
                      <w:szCs w:val="21"/>
                      <w:highlight w:val="none"/>
                    </w:rPr>
                    <w:t>否</w:t>
                  </w:r>
                </w:p>
              </w:tc>
            </w:tr>
          </w:tbl>
          <w:p w14:paraId="22805844">
            <w:pPr>
              <w:spacing w:line="240" w:lineRule="auto"/>
              <w:rPr>
                <w:rFonts w:hint="default" w:ascii="宋体" w:hAnsi="宋体" w:eastAsia="宋体" w:cs="宋体"/>
                <w:color w:val="auto"/>
                <w:sz w:val="24"/>
                <w:szCs w:val="24"/>
                <w:highlight w:val="none"/>
                <w:lang w:val="en-US" w:eastAsia="zh-CN"/>
              </w:rPr>
            </w:pPr>
          </w:p>
        </w:tc>
      </w:tr>
      <w:tr w14:paraId="2B4123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56" w:type="dxa"/>
            <w:tcBorders>
              <w:tl2br w:val="nil"/>
              <w:tr2bl w:val="nil"/>
            </w:tcBorders>
            <w:shd w:val="clear" w:color="auto" w:fill="auto"/>
            <w:vAlign w:val="center"/>
          </w:tcPr>
          <w:p w14:paraId="11123B2C">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11</w:t>
            </w:r>
          </w:p>
        </w:tc>
        <w:tc>
          <w:tcPr>
            <w:tcW w:w="1750" w:type="dxa"/>
            <w:tcBorders>
              <w:tl2br w:val="nil"/>
              <w:tr2bl w:val="nil"/>
            </w:tcBorders>
            <w:vAlign w:val="center"/>
          </w:tcPr>
          <w:p w14:paraId="48437ED8">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6898" w:type="dxa"/>
            <w:tcBorders>
              <w:tl2br w:val="nil"/>
              <w:tr2bl w:val="nil"/>
            </w:tcBorders>
            <w:vAlign w:val="center"/>
          </w:tcPr>
          <w:p w14:paraId="086E42DA">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本项目不收取投标保证金。</w:t>
            </w:r>
          </w:p>
        </w:tc>
      </w:tr>
      <w:tr w14:paraId="5BCBDB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6" w:type="dxa"/>
            <w:tcBorders>
              <w:tl2br w:val="nil"/>
              <w:tr2bl w:val="nil"/>
            </w:tcBorders>
            <w:shd w:val="clear" w:color="auto" w:fill="auto"/>
            <w:vAlign w:val="center"/>
          </w:tcPr>
          <w:p w14:paraId="7D871D53">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12</w:t>
            </w:r>
          </w:p>
        </w:tc>
        <w:tc>
          <w:tcPr>
            <w:tcW w:w="1750" w:type="dxa"/>
            <w:tcBorders>
              <w:tl2br w:val="nil"/>
              <w:tr2bl w:val="nil"/>
            </w:tcBorders>
            <w:vAlign w:val="center"/>
          </w:tcPr>
          <w:p w14:paraId="3C4568A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6898" w:type="dxa"/>
            <w:tcBorders>
              <w:tl2br w:val="nil"/>
              <w:tr2bl w:val="nil"/>
            </w:tcBorders>
            <w:vAlign w:val="center"/>
          </w:tcPr>
          <w:p w14:paraId="39747C12">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（1）履约保证金为合同金额的百分之五，投标人应在中标通知书发出之日起至合同签订前以银行转账</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形式向</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提交履约保证金。</w:t>
            </w:r>
          </w:p>
          <w:p w14:paraId="15A01BED">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（2）履行合同约定(含售后服务)完毕且验收合格后，10个日历天内无息退还</w:t>
            </w:r>
            <w:r>
              <w:rPr>
                <w:rFonts w:hint="eastAsia" w:ascii="宋体" w:hAnsi="宋体" w:eastAsia="宋体" w:cs="宋体"/>
                <w:b/>
                <w:bCs/>
                <w:color w:val="auto"/>
                <w:sz w:val="24"/>
                <w:szCs w:val="24"/>
                <w:highlight w:val="none"/>
                <w:lang w:val="en-US" w:eastAsia="zh-CN"/>
              </w:rPr>
              <w:t>中标人</w:t>
            </w:r>
            <w:r>
              <w:rPr>
                <w:rFonts w:hint="eastAsia" w:ascii="宋体" w:hAnsi="宋体" w:eastAsia="宋体" w:cs="宋体"/>
                <w:b/>
                <w:bCs/>
                <w:color w:val="auto"/>
                <w:sz w:val="24"/>
                <w:szCs w:val="24"/>
                <w:highlight w:val="none"/>
              </w:rPr>
              <w:t>应退部分履约保证金。若因</w:t>
            </w:r>
            <w:r>
              <w:rPr>
                <w:rFonts w:hint="eastAsia" w:ascii="宋体" w:hAnsi="宋体" w:eastAsia="宋体" w:cs="宋体"/>
                <w:b/>
                <w:bCs/>
                <w:color w:val="auto"/>
                <w:sz w:val="24"/>
                <w:szCs w:val="24"/>
                <w:highlight w:val="none"/>
                <w:lang w:val="en-US" w:eastAsia="zh-CN"/>
              </w:rPr>
              <w:t>中标人</w:t>
            </w:r>
            <w:r>
              <w:rPr>
                <w:rFonts w:hint="eastAsia" w:ascii="宋体" w:hAnsi="宋体" w:eastAsia="宋体" w:cs="宋体"/>
                <w:b/>
                <w:bCs/>
                <w:color w:val="auto"/>
                <w:sz w:val="24"/>
                <w:szCs w:val="24"/>
                <w:highlight w:val="none"/>
              </w:rPr>
              <w:t>不及时或未提供“收到退还履约保证金的收据”、“履约保证金退还申请”的，则</w:t>
            </w:r>
            <w:r>
              <w:rPr>
                <w:rFonts w:hint="eastAsia" w:ascii="宋体" w:hAnsi="宋体" w:eastAsia="宋体" w:cs="宋体"/>
                <w:b/>
                <w:bCs/>
                <w:color w:val="auto"/>
                <w:sz w:val="24"/>
                <w:szCs w:val="24"/>
                <w:highlight w:val="none"/>
                <w:lang w:val="en-US" w:eastAsia="zh-CN"/>
              </w:rPr>
              <w:t>招标人</w:t>
            </w:r>
            <w:r>
              <w:rPr>
                <w:rFonts w:hint="eastAsia" w:ascii="宋体" w:hAnsi="宋体" w:eastAsia="宋体" w:cs="宋体"/>
                <w:b/>
                <w:bCs/>
                <w:color w:val="auto"/>
                <w:sz w:val="24"/>
                <w:szCs w:val="24"/>
                <w:highlight w:val="none"/>
              </w:rPr>
              <w:t>不承担任何责任。</w:t>
            </w:r>
          </w:p>
          <w:p w14:paraId="39E1271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（3）履约保证金汇入的银行及账号：</w:t>
            </w:r>
          </w:p>
          <w:p w14:paraId="584567B8">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收款账号：成都市技师学院</w:t>
            </w:r>
          </w:p>
          <w:p w14:paraId="2E014219">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开户行：工行四川成都分行郫都红光支行</w:t>
            </w:r>
          </w:p>
          <w:p w14:paraId="1508E73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银行账号：4402054609100031151</w:t>
            </w:r>
          </w:p>
          <w:p w14:paraId="4767DF5E">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（4）履约保证金不予退还情形:一是</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标人未按合同要求履行的，其履约保证金全部扣除。二是</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标人缴纳了履约保证金，但因自身原因被取消</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资格或在</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公示期满之日起30个日历天(含法定节假日)内</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rPr>
              <w:t>标人不按招标文件确定的事项与</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签订合同的，其履约保证金不予退还。三是法律法规或合同约定的其他情形。</w:t>
            </w:r>
          </w:p>
        </w:tc>
      </w:tr>
      <w:tr w14:paraId="4520F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856" w:type="dxa"/>
            <w:tcBorders>
              <w:tl2br w:val="nil"/>
              <w:tr2bl w:val="nil"/>
            </w:tcBorders>
            <w:shd w:val="clear" w:color="auto" w:fill="auto"/>
            <w:vAlign w:val="center"/>
          </w:tcPr>
          <w:p w14:paraId="330E8871">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13</w:t>
            </w:r>
          </w:p>
        </w:tc>
        <w:tc>
          <w:tcPr>
            <w:tcW w:w="1750" w:type="dxa"/>
            <w:tcBorders>
              <w:tl2br w:val="nil"/>
              <w:tr2bl w:val="nil"/>
            </w:tcBorders>
            <w:vAlign w:val="center"/>
          </w:tcPr>
          <w:p w14:paraId="45C3C02F">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合同分包</w:t>
            </w:r>
          </w:p>
          <w:p w14:paraId="6147988E">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(实质性要求)</w:t>
            </w:r>
          </w:p>
        </w:tc>
        <w:tc>
          <w:tcPr>
            <w:tcW w:w="6898" w:type="dxa"/>
            <w:tcBorders>
              <w:tl2br w:val="nil"/>
              <w:tr2bl w:val="nil"/>
            </w:tcBorders>
            <w:vAlign w:val="center"/>
          </w:tcPr>
          <w:p w14:paraId="14373CCF">
            <w:pPr>
              <w:spacing w:line="240" w:lineRule="auto"/>
              <w:jc w:val="both"/>
              <w:rPr>
                <w:rFonts w:ascii="宋体" w:hAnsi="宋体" w:eastAsia="宋体" w:cs="宋体"/>
                <w:b/>
                <w:bCs/>
                <w:color w:val="auto"/>
                <w:sz w:val="24"/>
                <w:szCs w:val="24"/>
                <w:highlight w:val="none"/>
              </w:rPr>
            </w:pPr>
            <w:r>
              <w:rPr>
                <w:rFonts w:hint="eastAsia"/>
                <w:color w:val="auto"/>
                <w:sz w:val="24"/>
                <w:szCs w:val="24"/>
                <w:highlight w:val="none"/>
              </w:rPr>
              <w:t>本项目</w:t>
            </w:r>
            <w:r>
              <w:rPr>
                <w:rFonts w:hint="eastAsia" w:eastAsia="宋体"/>
                <w:color w:val="auto"/>
                <w:sz w:val="24"/>
                <w:szCs w:val="24"/>
                <w:highlight w:val="none"/>
                <w:lang w:val="en-US" w:eastAsia="zh-CN"/>
              </w:rPr>
              <w:t>不接受</w:t>
            </w:r>
            <w:r>
              <w:rPr>
                <w:rFonts w:hint="eastAsia"/>
                <w:color w:val="auto"/>
                <w:sz w:val="24"/>
                <w:szCs w:val="24"/>
                <w:highlight w:val="none"/>
              </w:rPr>
              <w:t>合同分包。</w:t>
            </w:r>
          </w:p>
        </w:tc>
      </w:tr>
      <w:tr w14:paraId="10523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6970D8A8">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14</w:t>
            </w:r>
          </w:p>
        </w:tc>
        <w:tc>
          <w:tcPr>
            <w:tcW w:w="1750" w:type="dxa"/>
            <w:tcBorders>
              <w:tl2br w:val="nil"/>
              <w:tr2bl w:val="nil"/>
            </w:tcBorders>
            <w:vAlign w:val="center"/>
          </w:tcPr>
          <w:p w14:paraId="479DA1E5">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询问</w:t>
            </w:r>
          </w:p>
        </w:tc>
        <w:tc>
          <w:tcPr>
            <w:tcW w:w="6898" w:type="dxa"/>
            <w:tcBorders>
              <w:tl2br w:val="nil"/>
              <w:tr2bl w:val="nil"/>
            </w:tcBorders>
            <w:vAlign w:val="center"/>
          </w:tcPr>
          <w:p w14:paraId="47A182B1">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根据委托代理协议约定，投标人询问由四川铭信工程招标咨询有限公司负责答复</w:t>
            </w:r>
            <w:r>
              <w:rPr>
                <w:rFonts w:hint="eastAsia" w:ascii="宋体" w:hAnsi="宋体" w:eastAsia="宋体" w:cs="宋体"/>
                <w:color w:val="auto"/>
                <w:sz w:val="24"/>
                <w:szCs w:val="24"/>
                <w:highlight w:val="none"/>
                <w:lang w:val="zh-CN"/>
              </w:rPr>
              <w:t>。</w:t>
            </w:r>
          </w:p>
          <w:p w14:paraId="4EDE1DAC">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lang w:val="zh-CN"/>
              </w:rPr>
              <w:t xml:space="preserve"> </w:t>
            </w:r>
          </w:p>
          <w:p w14:paraId="2F8C2D9E">
            <w:pPr>
              <w:spacing w:line="240" w:lineRule="auto"/>
              <w:rPr>
                <w:rFonts w:hint="eastAsia" w:eastAsia="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tc>
      </w:tr>
      <w:tr w14:paraId="40DF0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1E4BD22F">
            <w:pPr>
              <w:spacing w:line="240" w:lineRule="auto"/>
              <w:jc w:val="center"/>
              <w:rPr>
                <w:rFonts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15</w:t>
            </w:r>
          </w:p>
        </w:tc>
        <w:tc>
          <w:tcPr>
            <w:tcW w:w="1750" w:type="dxa"/>
            <w:tcBorders>
              <w:tl2br w:val="nil"/>
              <w:tr2bl w:val="nil"/>
            </w:tcBorders>
            <w:vAlign w:val="center"/>
          </w:tcPr>
          <w:p w14:paraId="469B5E9B">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质疑</w:t>
            </w:r>
          </w:p>
        </w:tc>
        <w:tc>
          <w:tcPr>
            <w:tcW w:w="6898" w:type="dxa"/>
            <w:tcBorders>
              <w:tl2br w:val="nil"/>
              <w:tr2bl w:val="nil"/>
            </w:tcBorders>
            <w:vAlign w:val="center"/>
          </w:tcPr>
          <w:p w14:paraId="0A32AACE">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根据委托代理协议约定，对于招标文件的技术、</w:t>
            </w:r>
            <w:r>
              <w:rPr>
                <w:rFonts w:hint="eastAsia" w:ascii="宋体" w:hAnsi="宋体" w:eastAsia="宋体" w:cs="宋体"/>
                <w:color w:val="auto"/>
                <w:sz w:val="24"/>
                <w:szCs w:val="24"/>
                <w:highlight w:val="none"/>
                <w:lang w:val="en-US" w:eastAsia="zh-CN"/>
              </w:rPr>
              <w:t>服务或</w:t>
            </w:r>
            <w:r>
              <w:rPr>
                <w:rFonts w:hint="eastAsia" w:ascii="宋体" w:hAnsi="宋体" w:eastAsia="宋体" w:cs="宋体"/>
                <w:color w:val="auto"/>
                <w:sz w:val="24"/>
                <w:szCs w:val="24"/>
                <w:highlight w:val="none"/>
                <w:lang w:val="zh-CN"/>
              </w:rPr>
              <w:t>商务部分的质疑由成都市技师学院负责解释，四川铭信工程招标咨询有限公司负责答复；对于文件其他部分及流程、招标结果由四川铭信工程招标咨询有限公司负责答复。投标人在法定质疑期内应一次性提出针对同一招标程序环节的质疑（针对同一招标程序环节一次以上的质疑不予受理）。</w:t>
            </w:r>
          </w:p>
          <w:p w14:paraId="307C1E8B">
            <w:pPr>
              <w:spacing w:line="240" w:lineRule="auto"/>
              <w:rPr>
                <w:rFonts w:ascii="宋体" w:hAnsi="宋体" w:eastAsia="宋体" w:cs="宋体"/>
                <w:color w:val="auto"/>
                <w:sz w:val="24"/>
                <w:szCs w:val="24"/>
                <w:highlight w:val="none"/>
                <w:lang w:val="zh-CN"/>
              </w:rPr>
            </w:pPr>
            <w:r>
              <w:rPr>
                <w:rFonts w:hint="eastAsia" w:ascii="宋体"/>
                <w:color w:val="auto"/>
                <w:sz w:val="24"/>
                <w:szCs w:val="24"/>
                <w:highlight w:val="none"/>
                <w:lang w:val="zh-CN"/>
              </w:rPr>
              <w:t>接收方式：邮寄或现场递交，质疑函必须为书面形式并符合相关法律法规的要求。</w:t>
            </w:r>
          </w:p>
          <w:p w14:paraId="71F00EFE">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lang w:val="zh-CN"/>
              </w:rPr>
              <w:t xml:space="preserve"> </w:t>
            </w:r>
          </w:p>
          <w:p w14:paraId="392A9B2E">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cs="微软雅黑"/>
                <w:color w:val="auto"/>
                <w:sz w:val="24"/>
                <w:highlight w:val="none"/>
                <w:lang w:eastAsia="zh-CN"/>
              </w:rPr>
              <w:t>13558776674</w:t>
            </w:r>
          </w:p>
          <w:p w14:paraId="6EB6FD76">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121CD77F">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1、对招标文件提出质疑时间：为购买招标文件之日起七个工作日内；</w:t>
            </w:r>
          </w:p>
          <w:p w14:paraId="0F604BA3">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2、对招标过程提出质疑时间：为各招标程序环节结束之日起七个工作日内；</w:t>
            </w:r>
          </w:p>
          <w:p w14:paraId="3CE6B32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3、对招标结果提出质疑时间：为招标结果公告发布次日后七个工作日内；</w:t>
            </w:r>
          </w:p>
          <w:p w14:paraId="39474237">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lang w:val="zh-CN"/>
              </w:rPr>
              <w:t>《政府采购质疑和投诉办法》的规定，投标人质疑不得超出招标文件、招标过程、招标结果的范围；</w:t>
            </w:r>
          </w:p>
          <w:p w14:paraId="6F7ABE5B">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5、1-4每个阶段的质疑应在一次质疑函中全部提出全有事项。</w:t>
            </w:r>
          </w:p>
        </w:tc>
      </w:tr>
      <w:tr w14:paraId="382B4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shd w:val="clear" w:color="auto" w:fill="auto"/>
            <w:vAlign w:val="center"/>
          </w:tcPr>
          <w:p w14:paraId="3CC9C7CD">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750" w:type="dxa"/>
            <w:tcBorders>
              <w:tl2br w:val="nil"/>
              <w:tr2bl w:val="nil"/>
            </w:tcBorders>
            <w:vAlign w:val="center"/>
          </w:tcPr>
          <w:p w14:paraId="27BBCD3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节能、环保及无线局域网产品政府采购政策</w:t>
            </w:r>
          </w:p>
        </w:tc>
        <w:tc>
          <w:tcPr>
            <w:tcW w:w="6898" w:type="dxa"/>
            <w:tcBorders>
              <w:tl2br w:val="nil"/>
              <w:tr2bl w:val="nil"/>
            </w:tcBorders>
            <w:vAlign w:val="center"/>
          </w:tcPr>
          <w:p w14:paraId="76AE42E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、节能、环保产品政府采购政策：</w:t>
            </w:r>
          </w:p>
          <w:p w14:paraId="677527D0">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77922F89">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本项目采购的产品属于品目清单强制采购范围的，供应商应按上述要求提供产品认证证书复印件并加盖供应商单位公章，否则投标无效。</w:t>
            </w:r>
          </w:p>
          <w:p w14:paraId="1588A798">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本项目采购的产品属于品目清单优先采购范围的，按照第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p w14:paraId="6C1D9F0D">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注：对政府采购节能产品、环境标志产品实施品目清单管理。财政部、发展改革委、生态环境部等部门确定实施政府优先采购和强制采购的产品类别，以品目清单的形式发布并适时调整。</w:t>
            </w:r>
          </w:p>
          <w:p w14:paraId="6C142FC9">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二、无线局域网产品政府采购政策：</w:t>
            </w:r>
          </w:p>
          <w:p w14:paraId="6DF45400">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本项目采购的产品属于中国政府采购网公布的《无线局域网认证产品政府采购清单》的，按照第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章《综合评分明细表》的规则进行加分。</w:t>
            </w:r>
          </w:p>
        </w:tc>
      </w:tr>
      <w:tr w14:paraId="2B958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856" w:type="dxa"/>
            <w:tcBorders>
              <w:tl2br w:val="nil"/>
              <w:tr2bl w:val="nil"/>
            </w:tcBorders>
            <w:shd w:val="clear" w:color="auto" w:fill="auto"/>
            <w:vAlign w:val="center"/>
          </w:tcPr>
          <w:p w14:paraId="7ED1244F">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50" w:type="dxa"/>
            <w:tcBorders>
              <w:tl2br w:val="nil"/>
              <w:tr2bl w:val="nil"/>
            </w:tcBorders>
            <w:vAlign w:val="center"/>
          </w:tcPr>
          <w:p w14:paraId="70833244">
            <w:pPr>
              <w:spacing w:line="24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p>
          <w:p w14:paraId="60AF165B">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制作</w:t>
            </w:r>
          </w:p>
        </w:tc>
        <w:tc>
          <w:tcPr>
            <w:tcW w:w="6898" w:type="dxa"/>
            <w:tcBorders>
              <w:tl2br w:val="nil"/>
              <w:tr2bl w:val="nil"/>
            </w:tcBorders>
            <w:vAlign w:val="center"/>
          </w:tcPr>
          <w:p w14:paraId="28A709CD">
            <w:pPr>
              <w:spacing w:line="240" w:lineRule="auto"/>
              <w:jc w:val="both"/>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文件制作均以“包”为单位。</w:t>
            </w:r>
          </w:p>
        </w:tc>
      </w:tr>
      <w:tr w14:paraId="489FC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856" w:type="dxa"/>
            <w:tcBorders>
              <w:tl2br w:val="nil"/>
              <w:tr2bl w:val="nil"/>
            </w:tcBorders>
            <w:shd w:val="clear" w:color="auto" w:fill="auto"/>
            <w:vAlign w:val="center"/>
          </w:tcPr>
          <w:p w14:paraId="3C175098">
            <w:pPr>
              <w:spacing w:line="240" w:lineRule="auto"/>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1750" w:type="dxa"/>
            <w:tcBorders>
              <w:tl2br w:val="nil"/>
              <w:tr2bl w:val="nil"/>
            </w:tcBorders>
            <w:vAlign w:val="center"/>
          </w:tcPr>
          <w:p w14:paraId="02287D1F">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中标通知书领取</w:t>
            </w:r>
          </w:p>
        </w:tc>
        <w:tc>
          <w:tcPr>
            <w:tcW w:w="6898" w:type="dxa"/>
            <w:tcBorders>
              <w:tl2br w:val="nil"/>
              <w:tr2bl w:val="nil"/>
            </w:tcBorders>
            <w:vAlign w:val="center"/>
          </w:tcPr>
          <w:p w14:paraId="2516C099">
            <w:pPr>
              <w:pStyle w:val="24"/>
              <w:spacing w:line="240" w:lineRule="auto"/>
              <w:jc w:val="both"/>
              <w:rPr>
                <w:rFonts w:hint="eastAsia" w:ascii="宋体" w:hAnsi="宋体" w:eastAsia="宋体" w:cs="宋体"/>
                <w:color w:val="auto"/>
                <w:highlight w:val="none"/>
                <w:lang w:val="zh-CN"/>
              </w:rPr>
            </w:pPr>
            <w:r>
              <w:rPr>
                <w:rFonts w:hint="eastAsia"/>
                <w:color w:val="auto"/>
                <w:highlight w:val="none"/>
                <w:lang w:eastAsia="zh-Hans"/>
              </w:rPr>
              <w:t>成交结果公告</w:t>
            </w:r>
            <w:r>
              <w:rPr>
                <w:rFonts w:hint="eastAsia"/>
                <w:color w:val="auto"/>
                <w:highlight w:val="none"/>
                <w:lang w:val="zh-CN"/>
              </w:rPr>
              <w:t>在</w:t>
            </w:r>
            <w:r>
              <w:rPr>
                <w:rFonts w:hint="eastAsia"/>
                <w:bCs/>
                <w:color w:val="auto"/>
                <w:highlight w:val="none"/>
                <w:lang w:eastAsia="zh-CN"/>
              </w:rPr>
              <w:t>中国招标投标公共服务平台（http://www.cebpubservice.com/）</w:t>
            </w:r>
            <w:r>
              <w:rPr>
                <w:rFonts w:hint="eastAsia"/>
                <w:color w:val="auto"/>
                <w:highlight w:val="none"/>
                <w:lang w:val="zh-CN"/>
              </w:rPr>
              <w:t>上发布</w:t>
            </w:r>
            <w:r>
              <w:rPr>
                <w:color w:val="auto"/>
                <w:highlight w:val="none"/>
              </w:rPr>
              <w:t>，</w:t>
            </w:r>
            <w:r>
              <w:rPr>
                <w:rFonts w:hint="eastAsia"/>
                <w:color w:val="auto"/>
                <w:highlight w:val="none"/>
                <w:lang w:eastAsia="zh-Hans"/>
              </w:rPr>
              <w:t>公告发布后</w:t>
            </w:r>
            <w:r>
              <w:rPr>
                <w:color w:val="auto"/>
                <w:highlight w:val="none"/>
                <w:lang w:eastAsia="zh-Hans"/>
              </w:rPr>
              <w:t>，</w:t>
            </w:r>
            <w:r>
              <w:rPr>
                <w:rFonts w:hint="eastAsia"/>
                <w:color w:val="auto"/>
                <w:highlight w:val="none"/>
                <w:lang w:val="zh-CN"/>
              </w:rPr>
              <w:t>请成交供应商</w:t>
            </w:r>
            <w:r>
              <w:rPr>
                <w:rFonts w:hint="eastAsia"/>
                <w:color w:val="auto"/>
                <w:highlight w:val="none"/>
              </w:rPr>
              <w:t>与代</w:t>
            </w:r>
            <w:r>
              <w:rPr>
                <w:rFonts w:hint="eastAsia" w:ascii="宋体" w:hAnsi="宋体" w:eastAsia="宋体" w:cs="宋体"/>
                <w:color w:val="auto"/>
                <w:highlight w:val="none"/>
              </w:rPr>
              <w:t>理机构联系，以邮寄方式</w:t>
            </w:r>
            <w:r>
              <w:rPr>
                <w:rFonts w:hint="eastAsia" w:ascii="宋体" w:hAnsi="宋体" w:eastAsia="宋体" w:cs="宋体"/>
                <w:color w:val="auto"/>
                <w:highlight w:val="none"/>
                <w:lang w:val="zh-CN"/>
              </w:rPr>
              <w:t>领取</w:t>
            </w:r>
            <w:r>
              <w:rPr>
                <w:rFonts w:hint="eastAsia" w:cs="宋体"/>
                <w:color w:val="auto"/>
                <w:highlight w:val="none"/>
                <w:lang w:val="en-US" w:eastAsia="zh-CN"/>
              </w:rPr>
              <w:t>中标</w:t>
            </w:r>
            <w:r>
              <w:rPr>
                <w:rFonts w:hint="eastAsia" w:ascii="宋体" w:hAnsi="宋体" w:eastAsia="宋体" w:cs="宋体"/>
                <w:color w:val="auto"/>
                <w:highlight w:val="none"/>
                <w:lang w:val="zh-CN"/>
              </w:rPr>
              <w:t>通知书。</w:t>
            </w:r>
          </w:p>
          <w:p w14:paraId="3C15ABCB">
            <w:pPr>
              <w:pStyle w:val="24"/>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highlight w:val="none"/>
                <w:lang w:val="zh-CN"/>
              </w:rPr>
              <w:t>联系电话：</w:t>
            </w:r>
            <w:r>
              <w:rPr>
                <w:rFonts w:hint="eastAsia" w:ascii="宋体" w:hAnsi="宋体" w:eastAsia="宋体" w:cs="宋体"/>
                <w:color w:val="auto"/>
                <w:highlight w:val="none"/>
                <w:lang w:val="en-US" w:eastAsia="zh-CN"/>
              </w:rPr>
              <w:t>18780128100</w:t>
            </w:r>
            <w:r>
              <w:rPr>
                <w:rFonts w:hint="eastAsia" w:ascii="宋体" w:hAnsi="宋体" w:eastAsia="宋体" w:cs="宋体"/>
                <w:color w:val="auto"/>
                <w:highlight w:val="none"/>
                <w:lang w:val="zh-CN"/>
              </w:rPr>
              <w:t>。</w:t>
            </w:r>
          </w:p>
        </w:tc>
      </w:tr>
      <w:tr w14:paraId="36836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6F3B93F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750" w:type="dxa"/>
            <w:tcBorders>
              <w:tl2br w:val="nil"/>
              <w:tr2bl w:val="nil"/>
            </w:tcBorders>
            <w:vAlign w:val="center"/>
          </w:tcPr>
          <w:p w14:paraId="6B24EB65">
            <w:pPr>
              <w:kinsoku/>
              <w:spacing w:line="240" w:lineRule="auto"/>
              <w:ind w:right="105" w:rightChars="50"/>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招标代理服务费</w:t>
            </w:r>
          </w:p>
        </w:tc>
        <w:tc>
          <w:tcPr>
            <w:tcW w:w="6898" w:type="dxa"/>
            <w:tcBorders>
              <w:tl2br w:val="nil"/>
              <w:tr2bl w:val="nil"/>
            </w:tcBorders>
            <w:vAlign w:val="center"/>
          </w:tcPr>
          <w:p w14:paraId="5D550079">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项目代理服务按照国家计委计价格[2002]1980号及发改办价格[2003]857号文规定的收费标准下浮25%收取，中标人在领取中标通知书前支付服务费给代理机构。</w:t>
            </w:r>
          </w:p>
          <w:p w14:paraId="57E746E7">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账号名称：四川铭信工程招标咨询有限公司</w:t>
            </w:r>
          </w:p>
          <w:p w14:paraId="116FAE1B">
            <w:pPr>
              <w:spacing w:line="24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开户行：</w:t>
            </w:r>
            <w:r>
              <w:rPr>
                <w:rFonts w:hint="eastAsia" w:ascii="宋体" w:hAnsi="宋体" w:eastAsia="宋体" w:cs="宋体"/>
                <w:b w:val="0"/>
                <w:bCs w:val="0"/>
                <w:color w:val="auto"/>
                <w:sz w:val="24"/>
                <w:szCs w:val="24"/>
                <w:highlight w:val="none"/>
              </w:rPr>
              <w:t>四川银行股份有限公司成都天府广场支行</w:t>
            </w:r>
          </w:p>
          <w:p w14:paraId="717E6481">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银行账号：</w:t>
            </w:r>
            <w:r>
              <w:rPr>
                <w:rFonts w:hint="eastAsia" w:ascii="宋体" w:hAnsi="宋体" w:eastAsia="宋体" w:cs="宋体"/>
                <w:b w:val="0"/>
                <w:bCs w:val="0"/>
                <w:color w:val="auto"/>
                <w:sz w:val="24"/>
                <w:szCs w:val="24"/>
                <w:highlight w:val="none"/>
              </w:rPr>
              <w:t>78220100072502592</w:t>
            </w:r>
          </w:p>
        </w:tc>
      </w:tr>
    </w:tbl>
    <w:p w14:paraId="40C19CA8">
      <w:pPr>
        <w:spacing w:line="240" w:lineRule="auto"/>
        <w:ind w:firstLine="622" w:firstLineChars="200"/>
        <w:jc w:val="center"/>
        <w:rPr>
          <w:rFonts w:ascii="宋体" w:hAnsi="宋体" w:eastAsia="宋体" w:cs="宋体"/>
          <w:b/>
          <w:bCs/>
          <w:color w:val="auto"/>
          <w:sz w:val="31"/>
          <w:szCs w:val="31"/>
          <w:highlight w:val="none"/>
        </w:rPr>
      </w:pPr>
      <w:bookmarkStart w:id="12" w:name="_Toc31339"/>
    </w:p>
    <w:p w14:paraId="533AC96C">
      <w:pPr>
        <w:spacing w:line="240" w:lineRule="auto"/>
        <w:ind w:firstLine="622" w:firstLineChars="200"/>
        <w:jc w:val="center"/>
        <w:outlineLvl w:val="1"/>
        <w:rPr>
          <w:rFonts w:ascii="宋体" w:hAnsi="宋体" w:eastAsia="宋体" w:cs="宋体"/>
          <w:b/>
          <w:bCs/>
          <w:color w:val="auto"/>
          <w:sz w:val="31"/>
          <w:szCs w:val="31"/>
          <w:highlight w:val="none"/>
        </w:rPr>
      </w:pPr>
      <w:bookmarkStart w:id="13" w:name="_Toc12017"/>
      <w:r>
        <w:rPr>
          <w:rFonts w:hint="eastAsia" w:ascii="宋体" w:hAnsi="宋体" w:eastAsia="宋体" w:cs="宋体"/>
          <w:b/>
          <w:bCs/>
          <w:color w:val="auto"/>
          <w:sz w:val="31"/>
          <w:szCs w:val="31"/>
          <w:highlight w:val="none"/>
        </w:rPr>
        <w:t>二 、 总  则</w:t>
      </w:r>
      <w:bookmarkEnd w:id="12"/>
      <w:bookmarkEnd w:id="13"/>
    </w:p>
    <w:p w14:paraId="624E0423">
      <w:pPr>
        <w:spacing w:line="240" w:lineRule="auto"/>
        <w:outlineLvl w:val="9"/>
        <w:rPr>
          <w:rFonts w:ascii="宋体" w:hAnsi="宋体" w:eastAsia="宋体" w:cs="宋体"/>
          <w:b/>
          <w:bCs/>
          <w:color w:val="auto"/>
          <w:sz w:val="24"/>
          <w:szCs w:val="24"/>
          <w:highlight w:val="none"/>
        </w:rPr>
      </w:pPr>
      <w:bookmarkStart w:id="14" w:name="_Toc18679"/>
      <w:bookmarkStart w:id="15" w:name="_Toc27740"/>
      <w:r>
        <w:rPr>
          <w:rFonts w:hint="eastAsia" w:ascii="宋体" w:hAnsi="宋体" w:eastAsia="宋体" w:cs="宋体"/>
          <w:b/>
          <w:bCs/>
          <w:color w:val="auto"/>
          <w:sz w:val="24"/>
          <w:szCs w:val="24"/>
          <w:highlight w:val="none"/>
        </w:rPr>
        <w:t>1.适用范围</w:t>
      </w:r>
      <w:bookmarkEnd w:id="14"/>
      <w:bookmarkEnd w:id="15"/>
    </w:p>
    <w:p w14:paraId="446E896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1.1 本招标文件仅适用于本次招标采购项目。</w:t>
      </w:r>
    </w:p>
    <w:p w14:paraId="1F4A3B3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1.2 本招标文件的解释权归</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所有。</w:t>
      </w:r>
    </w:p>
    <w:p w14:paraId="3AFB0B68">
      <w:pPr>
        <w:spacing w:line="240" w:lineRule="auto"/>
        <w:outlineLvl w:val="9"/>
        <w:rPr>
          <w:rFonts w:ascii="宋体" w:hAnsi="宋体" w:eastAsia="宋体" w:cs="宋体"/>
          <w:b/>
          <w:bCs/>
          <w:color w:val="auto"/>
          <w:sz w:val="24"/>
          <w:szCs w:val="24"/>
          <w:highlight w:val="none"/>
        </w:rPr>
      </w:pPr>
      <w:bookmarkStart w:id="16" w:name="_Toc28213"/>
      <w:bookmarkStart w:id="17" w:name="_Toc22141"/>
      <w:r>
        <w:rPr>
          <w:rFonts w:hint="eastAsia" w:ascii="宋体" w:hAnsi="宋体" w:eastAsia="宋体" w:cs="宋体"/>
          <w:b/>
          <w:bCs/>
          <w:color w:val="auto"/>
          <w:sz w:val="24"/>
          <w:szCs w:val="24"/>
          <w:highlight w:val="none"/>
        </w:rPr>
        <w:t>2.有关定义</w:t>
      </w:r>
      <w:bookmarkEnd w:id="16"/>
      <w:bookmarkEnd w:id="17"/>
    </w:p>
    <w:p w14:paraId="2ADAA93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2.1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”系指依法进行采购的国家机关、事业单位、团体组织。本次招标的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成都市技师学院</w:t>
      </w:r>
      <w:r>
        <w:rPr>
          <w:rFonts w:hint="eastAsia" w:ascii="宋体" w:hAnsi="宋体" w:eastAsia="宋体" w:cs="宋体"/>
          <w:b/>
          <w:bCs/>
          <w:color w:val="auto"/>
          <w:sz w:val="24"/>
          <w:szCs w:val="24"/>
          <w:highlight w:val="none"/>
          <w:u w:val="single"/>
        </w:rPr>
        <w:t xml:space="preserve"> </w:t>
      </w:r>
      <w:r>
        <w:rPr>
          <w:rFonts w:ascii="宋体" w:hAnsi="宋体" w:eastAsia="宋体" w:cs="宋体"/>
          <w:color w:val="auto"/>
          <w:sz w:val="24"/>
          <w:szCs w:val="24"/>
          <w:highlight w:val="none"/>
        </w:rPr>
        <w:t>。</w:t>
      </w:r>
    </w:p>
    <w:p w14:paraId="2B4E951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2.2 “</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”系指根据</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的委托依法办理招标事宜的采购机构。本次招标的</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w:t>
      </w:r>
    </w:p>
    <w:p w14:paraId="3C9AC75C">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2.3 “招标采购单位”系指“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”的统称。</w:t>
      </w:r>
    </w:p>
    <w:p w14:paraId="2A309AC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2.4 “投标人”系指购买了招标文件拟参加投标和向</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提供货物及相应服务的供应商，同时本文件中因政策法规等原因出现描述不一致的“投标人”与“供应商”均属同一含义。</w:t>
      </w:r>
    </w:p>
    <w:p w14:paraId="46EE60EC">
      <w:pPr>
        <w:spacing w:line="240" w:lineRule="auto"/>
        <w:outlineLvl w:val="9"/>
        <w:rPr>
          <w:rFonts w:ascii="宋体" w:hAnsi="宋体" w:eastAsia="宋体" w:cs="宋体"/>
          <w:b/>
          <w:bCs/>
          <w:color w:val="auto"/>
          <w:sz w:val="24"/>
          <w:szCs w:val="24"/>
          <w:highlight w:val="none"/>
        </w:rPr>
      </w:pPr>
      <w:bookmarkStart w:id="18" w:name="_Toc16540"/>
      <w:bookmarkStart w:id="19" w:name="_Toc6383"/>
      <w:r>
        <w:rPr>
          <w:rFonts w:hint="eastAsia" w:ascii="宋体" w:hAnsi="宋体" w:eastAsia="宋体" w:cs="宋体"/>
          <w:b/>
          <w:bCs/>
          <w:color w:val="auto"/>
          <w:sz w:val="24"/>
          <w:szCs w:val="24"/>
          <w:highlight w:val="none"/>
        </w:rPr>
        <w:t>3.合格的投标人 (实质性要求)</w:t>
      </w:r>
      <w:bookmarkEnd w:id="18"/>
      <w:bookmarkEnd w:id="19"/>
    </w:p>
    <w:p w14:paraId="69372B73">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合格的投标人应具备以下条件：</w:t>
      </w:r>
    </w:p>
    <w:p w14:paraId="4326AEA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3.1 本招标文件规定的供应商资格条件；</w:t>
      </w:r>
    </w:p>
    <w:p w14:paraId="4209C69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3.2 遵守国家有关的法律、法规、规章和其他政策制度；</w:t>
      </w:r>
    </w:p>
    <w:p w14:paraId="453761D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不属于禁止参加本项目采购活动的供应商；</w:t>
      </w:r>
    </w:p>
    <w:p w14:paraId="4F86714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按规定获取了招标文件</w:t>
      </w:r>
      <w:r>
        <w:rPr>
          <w:rFonts w:ascii="宋体" w:hAnsi="宋体" w:eastAsia="宋体" w:cs="宋体"/>
          <w:color w:val="auto"/>
          <w:sz w:val="24"/>
          <w:szCs w:val="24"/>
          <w:highlight w:val="none"/>
        </w:rPr>
        <w:t>。</w:t>
      </w:r>
    </w:p>
    <w:p w14:paraId="46B2359C">
      <w:pPr>
        <w:spacing w:line="240" w:lineRule="auto"/>
        <w:outlineLvl w:val="9"/>
        <w:rPr>
          <w:rFonts w:ascii="宋体" w:hAnsi="宋体" w:eastAsia="宋体" w:cs="宋体"/>
          <w:b/>
          <w:bCs/>
          <w:color w:val="auto"/>
          <w:sz w:val="24"/>
          <w:szCs w:val="24"/>
          <w:highlight w:val="none"/>
        </w:rPr>
      </w:pPr>
      <w:bookmarkStart w:id="20" w:name="_Toc3991"/>
      <w:bookmarkStart w:id="21" w:name="_Toc30882"/>
      <w:r>
        <w:rPr>
          <w:rFonts w:hint="eastAsia" w:ascii="宋体" w:hAnsi="宋体" w:eastAsia="宋体" w:cs="宋体"/>
          <w:b/>
          <w:bCs/>
          <w:color w:val="auto"/>
          <w:sz w:val="24"/>
          <w:szCs w:val="24"/>
          <w:highlight w:val="none"/>
        </w:rPr>
        <w:t>4.投标费用 (实质性要求)</w:t>
      </w:r>
      <w:bookmarkEnd w:id="20"/>
      <w:bookmarkEnd w:id="21"/>
    </w:p>
    <w:p w14:paraId="65CB37EF">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投标人参加投标的有关费用由投标人自行承担。</w:t>
      </w:r>
    </w:p>
    <w:p w14:paraId="17385ACC">
      <w:pPr>
        <w:spacing w:line="240" w:lineRule="auto"/>
        <w:outlineLvl w:val="9"/>
        <w:rPr>
          <w:rFonts w:ascii="宋体" w:hAnsi="宋体" w:eastAsia="宋体" w:cs="宋体"/>
          <w:b/>
          <w:bCs/>
          <w:color w:val="auto"/>
          <w:sz w:val="24"/>
          <w:szCs w:val="24"/>
          <w:highlight w:val="none"/>
        </w:rPr>
      </w:pPr>
      <w:bookmarkStart w:id="22" w:name="_Toc27215"/>
      <w:bookmarkStart w:id="23" w:name="_Toc10194"/>
      <w:r>
        <w:rPr>
          <w:rFonts w:hint="eastAsia" w:ascii="宋体" w:hAnsi="宋体" w:eastAsia="宋体" w:cs="宋体"/>
          <w:b/>
          <w:bCs/>
          <w:color w:val="auto"/>
          <w:sz w:val="24"/>
          <w:szCs w:val="24"/>
          <w:highlight w:val="none"/>
        </w:rPr>
        <w:t>5.充分、公平竞争保障措施 (实质性要求)</w:t>
      </w:r>
      <w:bookmarkEnd w:id="22"/>
      <w:bookmarkEnd w:id="23"/>
    </w:p>
    <w:p w14:paraId="74A9C681">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 xml:space="preserve"> 利害关系供应商处理。</w:t>
      </w:r>
      <w:r>
        <w:rPr>
          <w:rFonts w:ascii="宋体" w:hAnsi="宋体" w:eastAsia="宋体" w:cs="宋体"/>
          <w:color w:val="auto"/>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7E0EA49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前期参与供应商处理。</w:t>
      </w:r>
      <w:r>
        <w:rPr>
          <w:rFonts w:ascii="宋体" w:hAnsi="宋体" w:eastAsia="宋体" w:cs="宋体"/>
          <w:color w:val="auto"/>
          <w:sz w:val="24"/>
          <w:szCs w:val="24"/>
          <w:highlight w:val="none"/>
        </w:rPr>
        <w:t>为采购项目提供整体设计、规范编制或者项目管理、监理、检测等服务的供应商，不得再参加该采购项目的其他采购活动。供应商为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ADC5F54">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 利害关系代理人处理。</w:t>
      </w:r>
      <w:r>
        <w:rPr>
          <w:rFonts w:hint="eastAsia" w:ascii="宋体" w:hAnsi="宋体" w:eastAsia="宋体" w:cs="宋体"/>
          <w:color w:val="auto"/>
          <w:sz w:val="24"/>
          <w:szCs w:val="24"/>
          <w:highlight w:val="none"/>
        </w:rPr>
        <w:t>两</w:t>
      </w:r>
      <w:r>
        <w:rPr>
          <w:rFonts w:ascii="宋体" w:hAnsi="宋体" w:eastAsia="宋体" w:cs="宋体"/>
          <w:color w:val="auto"/>
          <w:sz w:val="24"/>
          <w:szCs w:val="24"/>
          <w:highlight w:val="none"/>
        </w:rPr>
        <w:t>家以上的供应商不得在同一合同项下的采购项目中，同时委托同一个自然人、同一家庭的人员、同一单位的人员作为其</w:t>
      </w:r>
      <w:r>
        <w:rPr>
          <w:rFonts w:hint="eastAsia" w:ascii="宋体" w:hAnsi="宋体" w:eastAsia="宋体" w:cs="宋体"/>
          <w:color w:val="auto"/>
          <w:sz w:val="24"/>
          <w:szCs w:val="24"/>
          <w:highlight w:val="none"/>
        </w:rPr>
        <w:t>授权代表人，</w:t>
      </w:r>
      <w:r>
        <w:rPr>
          <w:rFonts w:ascii="宋体" w:hAnsi="宋体" w:eastAsia="宋体" w:cs="宋体"/>
          <w:color w:val="auto"/>
          <w:sz w:val="24"/>
          <w:szCs w:val="24"/>
          <w:highlight w:val="none"/>
        </w:rPr>
        <w:t>否则，其投标文件作为无效处理。</w:t>
      </w:r>
    </w:p>
    <w:p w14:paraId="3B1E5B6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供应商实际控制人或者中高级管理人员，同时是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工作人员，不得参与本项目采购活动。</w:t>
      </w:r>
    </w:p>
    <w:p w14:paraId="738127F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 xml:space="preserve"> 供应商与</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存在关联关系，或者是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的母公司或子公司，不得参加本项目采购活动。</w:t>
      </w:r>
    </w:p>
    <w:p w14:paraId="594B54B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回避。采购活动中，</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员及相关人员与供应商有下列利害关系之一的，应当回避：</w:t>
      </w:r>
    </w:p>
    <w:p w14:paraId="06C2C16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(1)参加采购活动前3年内与供应商存在劳动关系；</w:t>
      </w:r>
    </w:p>
    <w:p w14:paraId="773EAE8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(2)参加采购活动前3年内担任供应商的董事、监事；</w:t>
      </w:r>
    </w:p>
    <w:p w14:paraId="2D73928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(3)参加采购活动前3年内是供应商的控股股东或者实际控制人；</w:t>
      </w:r>
    </w:p>
    <w:p w14:paraId="2E1072E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(4)与供应商的法定代表人或者负责人有夫妻、直系血亲、三代以内旁系血亲或者近姻亲关系；</w:t>
      </w:r>
    </w:p>
    <w:p w14:paraId="10415B2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(5)与供应商有其他可能影响采购活动公平、公正进行的关系。</w:t>
      </w:r>
    </w:p>
    <w:p w14:paraId="13C8D53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本项目采购活动中需要依法回避的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员是指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内部负责采购项目的具体经办工作人员和直接分管采购项目的负责人，以及</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负责采购项目的具体经办工作人员和直接分管采购活动的负责人。本项目采购活动中需要依法回避的相关人员是指评标委员会成员。</w:t>
      </w:r>
    </w:p>
    <w:p w14:paraId="773FEFC6">
      <w:pPr>
        <w:spacing w:line="240" w:lineRule="auto"/>
        <w:ind w:firstLine="240" w:firstLineChars="100"/>
        <w:rPr>
          <w:rFonts w:ascii="宋体" w:hAnsi="宋体" w:eastAsia="宋体" w:cs="宋体"/>
          <w:color w:val="auto"/>
          <w:sz w:val="23"/>
          <w:szCs w:val="23"/>
          <w:highlight w:val="none"/>
        </w:rPr>
      </w:pPr>
      <w:r>
        <w:rPr>
          <w:rFonts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员及相关人员与其他供应商有利害关系的，可以向</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书面提出回避申请，并说明理由。</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将及时询问被申请回避人员，有利害关系的被申请回避人员应当回避。</w:t>
      </w:r>
    </w:p>
    <w:p w14:paraId="1DEE9C0A">
      <w:pPr>
        <w:spacing w:line="240" w:lineRule="auto"/>
        <w:ind w:firstLine="622" w:firstLineChars="200"/>
        <w:jc w:val="center"/>
        <w:outlineLvl w:val="1"/>
        <w:rPr>
          <w:rFonts w:ascii="宋体" w:hAnsi="宋体" w:eastAsia="宋体" w:cs="宋体"/>
          <w:b/>
          <w:bCs/>
          <w:color w:val="auto"/>
          <w:sz w:val="31"/>
          <w:szCs w:val="31"/>
          <w:highlight w:val="none"/>
        </w:rPr>
      </w:pPr>
      <w:bookmarkStart w:id="24" w:name="_Toc21423"/>
      <w:bookmarkStart w:id="25" w:name="_Toc29728"/>
      <w:r>
        <w:rPr>
          <w:rFonts w:hint="eastAsia" w:ascii="宋体" w:hAnsi="宋体" w:eastAsia="宋体" w:cs="宋体"/>
          <w:b/>
          <w:bCs/>
          <w:color w:val="auto"/>
          <w:sz w:val="31"/>
          <w:szCs w:val="31"/>
          <w:highlight w:val="none"/>
        </w:rPr>
        <w:t>三、招标文件</w:t>
      </w:r>
      <w:bookmarkEnd w:id="24"/>
      <w:bookmarkEnd w:id="25"/>
    </w:p>
    <w:p w14:paraId="506CB22F">
      <w:pPr>
        <w:spacing w:line="240" w:lineRule="auto"/>
        <w:outlineLvl w:val="9"/>
        <w:rPr>
          <w:rFonts w:ascii="宋体" w:hAnsi="宋体" w:eastAsia="宋体" w:cs="宋体"/>
          <w:b/>
          <w:bCs/>
          <w:color w:val="auto"/>
          <w:sz w:val="24"/>
          <w:szCs w:val="24"/>
          <w:highlight w:val="none"/>
        </w:rPr>
      </w:pPr>
      <w:bookmarkStart w:id="26" w:name="_Toc26538"/>
      <w:bookmarkStart w:id="27" w:name="_Toc30193"/>
      <w:r>
        <w:rPr>
          <w:rFonts w:hint="eastAsia" w:ascii="宋体" w:hAnsi="宋体" w:eastAsia="宋体" w:cs="宋体"/>
          <w:b/>
          <w:bCs/>
          <w:color w:val="auto"/>
          <w:sz w:val="24"/>
          <w:szCs w:val="24"/>
          <w:highlight w:val="none"/>
        </w:rPr>
        <w:t>6.招标文件的构成</w:t>
      </w:r>
      <w:bookmarkEnd w:id="26"/>
      <w:bookmarkEnd w:id="27"/>
    </w:p>
    <w:p w14:paraId="406AD9D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21D982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(一) 投标邀请；</w:t>
      </w:r>
    </w:p>
    <w:p w14:paraId="510A924A">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(二) 投标人须知；</w:t>
      </w:r>
    </w:p>
    <w:p w14:paraId="4ABF6C8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(三) 投标文件格式；</w:t>
      </w:r>
    </w:p>
    <w:p w14:paraId="57D049E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(四) 投标人和投标产品的资格、资质性及其他类似效力要求；</w:t>
      </w:r>
    </w:p>
    <w:p w14:paraId="7D9DEC5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投标人应当提供的资格、资质性及其他类似效力要求的相关证明材料；</w:t>
      </w:r>
    </w:p>
    <w:p w14:paraId="5D044E5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(六) 招标项目技术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及商务要求；</w:t>
      </w:r>
    </w:p>
    <w:p w14:paraId="453F078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(七) 评标办法；</w:t>
      </w:r>
    </w:p>
    <w:p w14:paraId="3F7D9F3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(八) 合同主要条款。</w:t>
      </w:r>
    </w:p>
    <w:p w14:paraId="09F4F76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w:t>
      </w:r>
    </w:p>
    <w:p w14:paraId="7F97982B">
      <w:pPr>
        <w:spacing w:line="240" w:lineRule="auto"/>
        <w:outlineLvl w:val="9"/>
        <w:rPr>
          <w:rFonts w:ascii="宋体" w:hAnsi="宋体" w:eastAsia="宋体" w:cs="宋体"/>
          <w:b/>
          <w:bCs/>
          <w:color w:val="auto"/>
          <w:sz w:val="24"/>
          <w:szCs w:val="24"/>
          <w:highlight w:val="none"/>
        </w:rPr>
      </w:pPr>
      <w:bookmarkStart w:id="28" w:name="_Toc5879"/>
      <w:bookmarkStart w:id="29" w:name="_Toc2852"/>
      <w:r>
        <w:rPr>
          <w:rFonts w:hint="eastAsia" w:ascii="宋体" w:hAnsi="宋体" w:eastAsia="宋体" w:cs="宋体"/>
          <w:b/>
          <w:bCs/>
          <w:color w:val="auto"/>
          <w:sz w:val="24"/>
          <w:szCs w:val="24"/>
          <w:highlight w:val="none"/>
        </w:rPr>
        <w:t>7.招标文件的澄清和修改</w:t>
      </w:r>
      <w:bookmarkEnd w:id="28"/>
      <w:bookmarkEnd w:id="29"/>
    </w:p>
    <w:p w14:paraId="658BF59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 招标采购单位可以依法对招标文件进行澄清或者修改。</w:t>
      </w:r>
    </w:p>
    <w:p w14:paraId="3791982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 招标采购单位对已发出的招标文件进行澄清或者修改，澄清或者修改的内容可能影响投标文件编制的，将在招标文件要求的提交投标文件截止时间至少十五日前进行，并以书面形式将澄清或者修改的内容通知所有获取招标文件的潜在投标人，同时在</w:t>
      </w:r>
      <w:r>
        <w:rPr>
          <w:rFonts w:hint="eastAsia" w:ascii="宋体" w:hAnsi="宋体" w:eastAsia="宋体" w:cs="宋体"/>
          <w:color w:val="auto"/>
          <w:sz w:val="24"/>
          <w:szCs w:val="24"/>
          <w:highlight w:val="none"/>
        </w:rPr>
        <w:t>中国招标投标公共服务平台（http://www.cebpubservice.com/）</w:t>
      </w:r>
      <w:r>
        <w:rPr>
          <w:rFonts w:ascii="宋体" w:hAnsi="宋体" w:eastAsia="宋体" w:cs="宋体"/>
          <w:color w:val="auto"/>
          <w:sz w:val="24"/>
          <w:szCs w:val="24"/>
          <w:highlight w:val="none"/>
        </w:rPr>
        <w:t>发布更正公告；不足15日的，应当顺延提交投标文件的截止时间。该澄清或者修改的内容为招标文件的组成部分。</w:t>
      </w:r>
    </w:p>
    <w:p w14:paraId="7B5F6D2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.3 在投标截止时间前，招标采购单位可以视采购具体情况，延长投标截止时间和开标时间。</w:t>
      </w:r>
    </w:p>
    <w:p w14:paraId="086A805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.4 投标人认为需要对招标文件进行澄清或者修改的，可以以书面形式向招标采购单位提出申请，但招标采购单位可以决定是否采纳投标人的申请事项。</w:t>
      </w:r>
    </w:p>
    <w:p w14:paraId="55259435">
      <w:pPr>
        <w:spacing w:line="240" w:lineRule="auto"/>
        <w:outlineLvl w:val="9"/>
        <w:rPr>
          <w:rFonts w:ascii="宋体" w:hAnsi="宋体" w:eastAsia="宋体" w:cs="宋体"/>
          <w:b/>
          <w:bCs/>
          <w:color w:val="auto"/>
          <w:sz w:val="24"/>
          <w:szCs w:val="24"/>
          <w:highlight w:val="none"/>
        </w:rPr>
      </w:pPr>
      <w:bookmarkStart w:id="30" w:name="_Toc29062"/>
      <w:bookmarkStart w:id="31" w:name="_Toc21063"/>
      <w:r>
        <w:rPr>
          <w:rFonts w:hint="eastAsia" w:ascii="宋体" w:hAnsi="宋体" w:eastAsia="宋体" w:cs="宋体"/>
          <w:b/>
          <w:bCs/>
          <w:color w:val="auto"/>
          <w:sz w:val="24"/>
          <w:szCs w:val="24"/>
          <w:highlight w:val="none"/>
        </w:rPr>
        <w:t>8.答疑会和现场考察</w:t>
      </w:r>
      <w:bookmarkEnd w:id="30"/>
      <w:bookmarkEnd w:id="31"/>
    </w:p>
    <w:p w14:paraId="11BBF10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2EFB5BC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供应商考察现场所发生的一切费用由供应商自己承担。</w:t>
      </w:r>
    </w:p>
    <w:p w14:paraId="24E77FD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现场考察/标前答疑会时间：本项目不组织。</w:t>
      </w:r>
    </w:p>
    <w:p w14:paraId="5F47F4DC">
      <w:pPr>
        <w:spacing w:line="240" w:lineRule="auto"/>
        <w:ind w:firstLine="241" w:firstLineChars="100"/>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现场考察/标前答疑会地点：本项目不组织。</w:t>
      </w:r>
    </w:p>
    <w:p w14:paraId="6A2FAC00">
      <w:pPr>
        <w:spacing w:line="240" w:lineRule="auto"/>
        <w:ind w:firstLine="622" w:firstLineChars="200"/>
        <w:jc w:val="center"/>
        <w:outlineLvl w:val="1"/>
        <w:rPr>
          <w:rFonts w:ascii="宋体" w:hAnsi="宋体" w:eastAsia="宋体" w:cs="宋体"/>
          <w:b/>
          <w:bCs/>
          <w:color w:val="auto"/>
          <w:sz w:val="31"/>
          <w:szCs w:val="31"/>
          <w:highlight w:val="none"/>
        </w:rPr>
      </w:pPr>
      <w:bookmarkStart w:id="32" w:name="_Toc11956"/>
      <w:bookmarkStart w:id="33" w:name="_Toc9364"/>
      <w:r>
        <w:rPr>
          <w:rFonts w:hint="eastAsia" w:ascii="宋体" w:hAnsi="宋体" w:eastAsia="宋体" w:cs="宋体"/>
          <w:b/>
          <w:bCs/>
          <w:color w:val="auto"/>
          <w:sz w:val="31"/>
          <w:szCs w:val="31"/>
          <w:highlight w:val="none"/>
        </w:rPr>
        <w:t>四、投标文件</w:t>
      </w:r>
      <w:bookmarkEnd w:id="32"/>
      <w:bookmarkEnd w:id="33"/>
    </w:p>
    <w:p w14:paraId="22739B00">
      <w:pPr>
        <w:spacing w:line="240" w:lineRule="auto"/>
        <w:rPr>
          <w:color w:val="auto"/>
          <w:highlight w:val="none"/>
        </w:rPr>
      </w:pPr>
    </w:p>
    <w:p w14:paraId="64EFED33">
      <w:pPr>
        <w:spacing w:line="240" w:lineRule="auto"/>
        <w:outlineLvl w:val="9"/>
        <w:rPr>
          <w:rFonts w:ascii="宋体" w:hAnsi="宋体" w:eastAsia="宋体" w:cs="宋体"/>
          <w:b/>
          <w:bCs/>
          <w:color w:val="auto"/>
          <w:sz w:val="24"/>
          <w:szCs w:val="24"/>
          <w:highlight w:val="none"/>
        </w:rPr>
      </w:pPr>
      <w:bookmarkStart w:id="34" w:name="_Toc17087"/>
      <w:bookmarkStart w:id="35" w:name="_Toc18013"/>
      <w:r>
        <w:rPr>
          <w:rFonts w:hint="eastAsia" w:ascii="宋体" w:hAnsi="宋体" w:eastAsia="宋体" w:cs="宋体"/>
          <w:b/>
          <w:bCs/>
          <w:color w:val="auto"/>
          <w:sz w:val="24"/>
          <w:szCs w:val="24"/>
          <w:highlight w:val="none"/>
        </w:rPr>
        <w:t>9.投标文件的语言 (实质性要求)</w:t>
      </w:r>
      <w:bookmarkEnd w:id="34"/>
      <w:bookmarkEnd w:id="35"/>
    </w:p>
    <w:p w14:paraId="06C79245">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9.1 投标人提交的投标文件以及投标人与招标采购单位就有关投标的所有来往书面文件均须使用中文。</w:t>
      </w:r>
      <w:r>
        <w:rPr>
          <w:rFonts w:hint="eastAsia" w:ascii="宋体" w:hAnsi="宋体" w:eastAsia="宋体" w:cs="宋体"/>
          <w:b/>
          <w:bCs/>
          <w:color w:val="auto"/>
          <w:sz w:val="24"/>
          <w:szCs w:val="24"/>
          <w:highlight w:val="none"/>
        </w:rPr>
        <w:t>投标文件中如附有外文资料，必须逐一对应翻译成中文并加盖投标人公章后附在相关外文资料后面，否则，该外文资料将可能被视为无效材料。(说明：供应商的法定代表人或负责人为外籍人士的，法定代表人或负责人的签字和护照除外。)</w:t>
      </w:r>
    </w:p>
    <w:p w14:paraId="647254A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翻译的中文资料与外文资料如果出现差异和矛盾时，以中文为准。涉嫌虚假响应的按照相关法律法规处理。</w:t>
      </w:r>
    </w:p>
    <w:p w14:paraId="37EB5C6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未翻译的外文资料，评标委员会可将其视为无效材料。</w:t>
      </w:r>
    </w:p>
    <w:p w14:paraId="014B8479">
      <w:pPr>
        <w:spacing w:line="240" w:lineRule="auto"/>
        <w:outlineLvl w:val="9"/>
        <w:rPr>
          <w:rFonts w:ascii="宋体" w:hAnsi="宋体" w:eastAsia="宋体" w:cs="宋体"/>
          <w:b/>
          <w:bCs/>
          <w:color w:val="auto"/>
          <w:sz w:val="24"/>
          <w:szCs w:val="24"/>
          <w:highlight w:val="none"/>
        </w:rPr>
      </w:pPr>
      <w:bookmarkStart w:id="36" w:name="_Toc17534"/>
      <w:bookmarkStart w:id="37" w:name="_Toc935"/>
      <w:r>
        <w:rPr>
          <w:rFonts w:hint="eastAsia" w:ascii="宋体" w:hAnsi="宋体" w:eastAsia="宋体" w:cs="宋体"/>
          <w:b/>
          <w:bCs/>
          <w:color w:val="auto"/>
          <w:sz w:val="24"/>
          <w:szCs w:val="24"/>
          <w:highlight w:val="none"/>
        </w:rPr>
        <w:t>10.计量单位 (实质性要求)</w:t>
      </w:r>
      <w:bookmarkEnd w:id="36"/>
      <w:bookmarkEnd w:id="37"/>
    </w:p>
    <w:p w14:paraId="17698D7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除招标文件中另有规定外，本次采购项目所有合同项下的投标均采用国家法定的计量单位。</w:t>
      </w:r>
    </w:p>
    <w:p w14:paraId="3A589415">
      <w:pPr>
        <w:spacing w:line="240" w:lineRule="auto"/>
        <w:outlineLvl w:val="9"/>
        <w:rPr>
          <w:rFonts w:ascii="宋体" w:hAnsi="宋体" w:eastAsia="宋体" w:cs="宋体"/>
          <w:b/>
          <w:bCs/>
          <w:color w:val="auto"/>
          <w:sz w:val="24"/>
          <w:szCs w:val="24"/>
          <w:highlight w:val="none"/>
        </w:rPr>
      </w:pPr>
      <w:bookmarkStart w:id="38" w:name="_Toc10586"/>
      <w:bookmarkStart w:id="39" w:name="_Toc6193"/>
      <w:r>
        <w:rPr>
          <w:rFonts w:hint="eastAsia" w:ascii="宋体" w:hAnsi="宋体" w:eastAsia="宋体" w:cs="宋体"/>
          <w:b/>
          <w:bCs/>
          <w:color w:val="auto"/>
          <w:sz w:val="24"/>
          <w:szCs w:val="24"/>
          <w:highlight w:val="none"/>
        </w:rPr>
        <w:t>11.投标货币 (实质性要求)</w:t>
      </w:r>
      <w:bookmarkEnd w:id="38"/>
      <w:bookmarkEnd w:id="39"/>
    </w:p>
    <w:p w14:paraId="4734B91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FA56E5A">
      <w:pPr>
        <w:spacing w:line="240" w:lineRule="auto"/>
        <w:outlineLvl w:val="9"/>
        <w:rPr>
          <w:rFonts w:ascii="宋体" w:hAnsi="宋体" w:eastAsia="宋体" w:cs="宋体"/>
          <w:b/>
          <w:bCs/>
          <w:color w:val="auto"/>
          <w:sz w:val="24"/>
          <w:szCs w:val="24"/>
          <w:highlight w:val="none"/>
        </w:rPr>
      </w:pPr>
      <w:bookmarkStart w:id="40" w:name="_Toc9144"/>
      <w:bookmarkStart w:id="41" w:name="_Toc2356"/>
      <w:r>
        <w:rPr>
          <w:rFonts w:hint="eastAsia" w:ascii="宋体" w:hAnsi="宋体" w:eastAsia="宋体" w:cs="宋体"/>
          <w:b/>
          <w:bCs/>
          <w:color w:val="auto"/>
          <w:sz w:val="24"/>
          <w:szCs w:val="24"/>
          <w:highlight w:val="none"/>
        </w:rPr>
        <w:t>12.联合体投标 (实质性要求)</w:t>
      </w:r>
      <w:bookmarkEnd w:id="40"/>
      <w:bookmarkEnd w:id="41"/>
    </w:p>
    <w:p w14:paraId="3787E983">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本次招标不接受联合体投标。</w:t>
      </w:r>
    </w:p>
    <w:p w14:paraId="126F19E1">
      <w:pPr>
        <w:spacing w:line="240" w:lineRule="auto"/>
        <w:outlineLvl w:val="9"/>
        <w:rPr>
          <w:rFonts w:ascii="宋体" w:hAnsi="宋体" w:eastAsia="宋体" w:cs="宋体"/>
          <w:b/>
          <w:bCs/>
          <w:color w:val="auto"/>
          <w:sz w:val="24"/>
          <w:szCs w:val="24"/>
          <w:highlight w:val="none"/>
        </w:rPr>
      </w:pPr>
      <w:bookmarkStart w:id="42" w:name="_Toc9644"/>
      <w:bookmarkStart w:id="43" w:name="_Toc19716"/>
      <w:r>
        <w:rPr>
          <w:rFonts w:hint="eastAsia" w:ascii="宋体" w:hAnsi="宋体" w:eastAsia="宋体" w:cs="宋体"/>
          <w:b/>
          <w:bCs/>
          <w:color w:val="auto"/>
          <w:sz w:val="24"/>
          <w:szCs w:val="24"/>
          <w:highlight w:val="none"/>
        </w:rPr>
        <w:t>13.知识产权 (实质性要求)</w:t>
      </w:r>
      <w:bookmarkEnd w:id="42"/>
      <w:bookmarkEnd w:id="43"/>
    </w:p>
    <w:p w14:paraId="5099550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351A6A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招标人享有本项目实施过程中产生的知识成果及知识产权。</w:t>
      </w:r>
    </w:p>
    <w:p w14:paraId="6A0396F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投标人如欲在项目实施过程中采用自有知识成果，</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投标文件中声明，并提供相关知识产权证明文件。使用该知识成果后，投标人需提供开发接口和开发手册等技术文档，并承诺提供无限期技术支持，招标人享有永久使用权(含招标人委托第三方在该项目后续开发的使用权) 。</w:t>
      </w:r>
    </w:p>
    <w:p w14:paraId="08604E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 如采用投标人所不拥有的知识产权，则在投标报价中必须包括合法获取该知识产权的相关费用。</w:t>
      </w:r>
    </w:p>
    <w:p w14:paraId="6FB32FDA">
      <w:pPr>
        <w:spacing w:line="240" w:lineRule="auto"/>
        <w:outlineLvl w:val="9"/>
        <w:rPr>
          <w:rFonts w:ascii="宋体" w:hAnsi="宋体" w:eastAsia="宋体" w:cs="宋体"/>
          <w:b/>
          <w:bCs/>
          <w:color w:val="auto"/>
          <w:sz w:val="24"/>
          <w:szCs w:val="24"/>
          <w:highlight w:val="none"/>
        </w:rPr>
      </w:pPr>
      <w:bookmarkStart w:id="44" w:name="_Toc29270"/>
      <w:bookmarkStart w:id="45" w:name="_Toc27512"/>
      <w:r>
        <w:rPr>
          <w:rFonts w:hint="eastAsia" w:ascii="宋体" w:hAnsi="宋体" w:eastAsia="宋体" w:cs="宋体"/>
          <w:b/>
          <w:bCs/>
          <w:color w:val="auto"/>
          <w:sz w:val="24"/>
          <w:szCs w:val="24"/>
          <w:highlight w:val="none"/>
        </w:rPr>
        <w:t>14.投标文件的组成</w:t>
      </w:r>
      <w:bookmarkEnd w:id="44"/>
      <w:bookmarkEnd w:id="45"/>
    </w:p>
    <w:p w14:paraId="78391F8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投标人应按照招标文件的规定和要求编制投标文件。投标人拟在中标后将中标项目的非主体、非关键性工作交由他人分包完成的，应当在投标文件中载明。投标人编写的投标文件应包括下列两部分：</w:t>
      </w:r>
    </w:p>
    <w:p w14:paraId="2D70EB78">
      <w:pPr>
        <w:spacing w:line="240" w:lineRule="auto"/>
        <w:outlineLvl w:val="9"/>
        <w:rPr>
          <w:rFonts w:ascii="宋体" w:hAnsi="宋体" w:eastAsia="宋体" w:cs="宋体"/>
          <w:b/>
          <w:bCs/>
          <w:color w:val="auto"/>
          <w:sz w:val="24"/>
          <w:szCs w:val="24"/>
          <w:highlight w:val="none"/>
        </w:rPr>
      </w:pPr>
      <w:bookmarkStart w:id="46" w:name="_Toc1820"/>
      <w:bookmarkStart w:id="47" w:name="_Toc25525"/>
      <w:r>
        <w:rPr>
          <w:rFonts w:hint="eastAsia" w:ascii="宋体" w:hAnsi="宋体" w:eastAsia="宋体" w:cs="宋体"/>
          <w:b/>
          <w:bCs/>
          <w:color w:val="auto"/>
          <w:sz w:val="24"/>
          <w:szCs w:val="24"/>
          <w:highlight w:val="none"/>
        </w:rPr>
        <w:t>14.1 第一部分:资格性投标文件</w:t>
      </w:r>
      <w:bookmarkEnd w:id="46"/>
      <w:bookmarkEnd w:id="47"/>
    </w:p>
    <w:p w14:paraId="65D819B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按照招标文件第四、五章要求，提供相关资格、资质性及其他类似效力要求的相关证明材料。</w:t>
      </w:r>
    </w:p>
    <w:p w14:paraId="10E7D082">
      <w:pPr>
        <w:spacing w:line="240" w:lineRule="auto"/>
        <w:outlineLvl w:val="9"/>
        <w:rPr>
          <w:rFonts w:ascii="宋体" w:hAnsi="宋体" w:eastAsia="宋体" w:cs="宋体"/>
          <w:b/>
          <w:bCs/>
          <w:color w:val="auto"/>
          <w:sz w:val="24"/>
          <w:szCs w:val="24"/>
          <w:highlight w:val="none"/>
        </w:rPr>
      </w:pPr>
      <w:bookmarkStart w:id="48" w:name="_Toc23733"/>
      <w:bookmarkStart w:id="49" w:name="_Toc28961"/>
      <w:r>
        <w:rPr>
          <w:rFonts w:hint="eastAsia" w:ascii="宋体" w:hAnsi="宋体" w:eastAsia="宋体" w:cs="宋体"/>
          <w:b/>
          <w:bCs/>
          <w:color w:val="auto"/>
          <w:sz w:val="24"/>
          <w:szCs w:val="24"/>
          <w:highlight w:val="none"/>
        </w:rPr>
        <w:t>14.2 第二部分:其他响应性投标文件</w:t>
      </w:r>
      <w:bookmarkEnd w:id="48"/>
      <w:bookmarkEnd w:id="49"/>
    </w:p>
    <w:p w14:paraId="06E05C5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 (包括但不限于) 以下五个方面的相关材料。</w:t>
      </w:r>
    </w:p>
    <w:p w14:paraId="39CFE1DC">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14.2.1 报价部分。</w:t>
      </w:r>
      <w:r>
        <w:rPr>
          <w:rFonts w:ascii="宋体" w:hAnsi="宋体" w:eastAsia="宋体" w:cs="宋体"/>
          <w:color w:val="auto"/>
          <w:sz w:val="24"/>
          <w:szCs w:val="24"/>
          <w:highlight w:val="none"/>
        </w:rPr>
        <w:t>投标人按照招标文件要求填写的“开标一览表”。本次招标报价要求：</w:t>
      </w:r>
    </w:p>
    <w:p w14:paraId="009609B6">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投标人的报价是投标人响应招标项目要求的全部工作内容的价格体现，包括投标人完成本项目所需的一切费用(实质性要求) 。</w:t>
      </w:r>
    </w:p>
    <w:p w14:paraId="137AC8E8">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投标人每种货物只允许有一个报价，并且在合同履行过程中是固定不变的，任何有选择或可调整的报价将不予接受，并按无效投标处理 (实质性要求) 。</w:t>
      </w:r>
    </w:p>
    <w:p w14:paraId="374A50E3">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14.2.2 技术、服务部分。</w:t>
      </w:r>
      <w:r>
        <w:rPr>
          <w:rFonts w:hint="eastAsia" w:ascii="宋体" w:hAnsi="宋体" w:eastAsia="宋体" w:cs="宋体"/>
          <w:color w:val="auto"/>
          <w:sz w:val="24"/>
          <w:szCs w:val="24"/>
          <w:highlight w:val="none"/>
        </w:rPr>
        <w:t>投标人按照招标文件要求做出的</w:t>
      </w:r>
      <w:r>
        <w:rPr>
          <w:rFonts w:hint="eastAsia" w:ascii="宋体" w:hAnsi="宋体" w:eastAsia="宋体" w:cs="宋体"/>
          <w:b/>
          <w:bCs/>
          <w:color w:val="auto"/>
          <w:sz w:val="24"/>
          <w:szCs w:val="24"/>
          <w:highlight w:val="none"/>
        </w:rPr>
        <w:t>技术、服务</w:t>
      </w:r>
      <w:r>
        <w:rPr>
          <w:rFonts w:hint="eastAsia" w:ascii="宋体" w:hAnsi="宋体" w:eastAsia="宋体" w:cs="宋体"/>
          <w:color w:val="auto"/>
          <w:sz w:val="24"/>
          <w:szCs w:val="24"/>
          <w:highlight w:val="none"/>
        </w:rPr>
        <w:t>应答，主要是针对招标项目的技术、服务内容做出的实质性响应和满足。投标人的</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color w:val="auto"/>
          <w:sz w:val="24"/>
          <w:szCs w:val="24"/>
          <w:highlight w:val="none"/>
        </w:rPr>
        <w:t>应答包括下列内容（如涉及）：</w:t>
      </w:r>
    </w:p>
    <w:p w14:paraId="2F99079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技术实施方案、服务方案、售后方案等</w:t>
      </w:r>
      <w:r>
        <w:rPr>
          <w:rFonts w:hint="eastAsia" w:ascii="宋体" w:hAnsi="宋体" w:eastAsia="宋体" w:cs="宋体"/>
          <w:color w:val="auto"/>
          <w:sz w:val="24"/>
          <w:szCs w:val="24"/>
          <w:highlight w:val="none"/>
        </w:rPr>
        <w:t>；</w:t>
      </w:r>
    </w:p>
    <w:p w14:paraId="69F8799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应答表；</w:t>
      </w:r>
    </w:p>
    <w:p w14:paraId="695758F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投标人认为需要提供的文件和资料。</w:t>
      </w:r>
    </w:p>
    <w:p w14:paraId="5431772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14.2.3 商务部分。</w:t>
      </w:r>
      <w:r>
        <w:rPr>
          <w:rFonts w:hint="eastAsia" w:ascii="宋体" w:hAnsi="宋体" w:eastAsia="宋体" w:cs="宋体"/>
          <w:color w:val="auto"/>
          <w:sz w:val="24"/>
          <w:szCs w:val="24"/>
          <w:highlight w:val="none"/>
        </w:rPr>
        <w:t>投标人按照招标文件要求提供的有关文件及优惠承诺。</w:t>
      </w:r>
    </w:p>
    <w:p w14:paraId="6AF9C36F">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包括以下内容（如涉及）：</w:t>
      </w:r>
    </w:p>
    <w:p w14:paraId="3B58BBB9">
      <w:pPr>
        <w:numPr>
          <w:ilvl w:val="0"/>
          <w:numId w:val="3"/>
        </w:num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1FA0008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商务应答表；</w:t>
      </w:r>
    </w:p>
    <w:p w14:paraId="2600B61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投标人基本情况表；</w:t>
      </w:r>
    </w:p>
    <w:p w14:paraId="2287716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投标人类似项目业绩一览表；</w:t>
      </w:r>
    </w:p>
    <w:p w14:paraId="7FF82BF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投标人本项目拟任管理、技术、服务人员情况表；</w:t>
      </w:r>
    </w:p>
    <w:p w14:paraId="2035652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投标人认为需要提供的文件和资料以及综合评分所需的材料。</w:t>
      </w:r>
    </w:p>
    <w:p w14:paraId="072CB0F4">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14.2.4 后续服务。</w:t>
      </w:r>
      <w:r>
        <w:rPr>
          <w:rFonts w:hint="eastAsia" w:ascii="宋体" w:hAnsi="宋体" w:eastAsia="宋体" w:cs="宋体"/>
          <w:color w:val="auto"/>
          <w:sz w:val="24"/>
          <w:szCs w:val="24"/>
          <w:highlight w:val="none"/>
        </w:rPr>
        <w:t>投标人按照招标文件中后续服务要求作出的积极响应和承诺。</w:t>
      </w:r>
    </w:p>
    <w:p w14:paraId="2B82CA7C">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14.2.5 其他部分。</w:t>
      </w:r>
      <w:r>
        <w:rPr>
          <w:rFonts w:hint="eastAsia" w:ascii="宋体" w:hAnsi="宋体" w:eastAsia="宋体" w:cs="宋体"/>
          <w:color w:val="auto"/>
          <w:sz w:val="24"/>
          <w:szCs w:val="24"/>
          <w:highlight w:val="none"/>
        </w:rPr>
        <w:t>投标人按照招标文件要求作出的其他应答和承诺。</w:t>
      </w:r>
    </w:p>
    <w:p w14:paraId="2873F652">
      <w:pPr>
        <w:spacing w:line="240" w:lineRule="auto"/>
        <w:outlineLvl w:val="9"/>
        <w:rPr>
          <w:rFonts w:ascii="宋体" w:hAnsi="宋体" w:eastAsia="宋体" w:cs="宋体"/>
          <w:b/>
          <w:bCs/>
          <w:color w:val="auto"/>
          <w:sz w:val="24"/>
          <w:szCs w:val="24"/>
          <w:highlight w:val="none"/>
        </w:rPr>
      </w:pPr>
      <w:bookmarkStart w:id="50" w:name="_Toc20681"/>
      <w:bookmarkStart w:id="51" w:name="_Toc22129"/>
      <w:r>
        <w:rPr>
          <w:rFonts w:hint="eastAsia" w:ascii="宋体" w:hAnsi="宋体" w:eastAsia="宋体" w:cs="宋体"/>
          <w:b/>
          <w:bCs/>
          <w:color w:val="auto"/>
          <w:sz w:val="24"/>
          <w:szCs w:val="24"/>
          <w:highlight w:val="none"/>
        </w:rPr>
        <w:t>15.投标文件格式</w:t>
      </w:r>
      <w:bookmarkEnd w:id="50"/>
      <w:bookmarkEnd w:id="51"/>
    </w:p>
    <w:p w14:paraId="3D5D95E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投标人应执行招标文件第三章的规定要求。</w:t>
      </w:r>
    </w:p>
    <w:p w14:paraId="320D002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对于没有格式要求的投标文件由投标人自行编写。</w:t>
      </w:r>
    </w:p>
    <w:p w14:paraId="08AEB9A3">
      <w:pPr>
        <w:spacing w:line="240" w:lineRule="auto"/>
        <w:outlineLvl w:val="9"/>
        <w:rPr>
          <w:rFonts w:ascii="宋体" w:hAnsi="宋体" w:eastAsia="宋体" w:cs="宋体"/>
          <w:b/>
          <w:bCs/>
          <w:color w:val="auto"/>
          <w:sz w:val="24"/>
          <w:szCs w:val="24"/>
          <w:highlight w:val="none"/>
        </w:rPr>
      </w:pPr>
      <w:bookmarkStart w:id="52" w:name="_Toc17412"/>
      <w:bookmarkStart w:id="53" w:name="_Toc28121"/>
      <w:r>
        <w:rPr>
          <w:rFonts w:hint="eastAsia" w:ascii="宋体" w:hAnsi="宋体" w:eastAsia="宋体" w:cs="宋体"/>
          <w:b/>
          <w:bCs/>
          <w:color w:val="auto"/>
          <w:sz w:val="24"/>
          <w:szCs w:val="24"/>
          <w:highlight w:val="none"/>
        </w:rPr>
        <w:t>16.投标保证金 (实质性要求)</w:t>
      </w:r>
      <w:bookmarkEnd w:id="52"/>
      <w:bookmarkEnd w:id="53"/>
    </w:p>
    <w:p w14:paraId="06B5169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14:paraId="6D61222C">
      <w:pPr>
        <w:spacing w:line="240" w:lineRule="auto"/>
        <w:outlineLvl w:val="9"/>
        <w:rPr>
          <w:rFonts w:ascii="宋体" w:hAnsi="宋体" w:eastAsia="宋体" w:cs="宋体"/>
          <w:b/>
          <w:bCs/>
          <w:color w:val="auto"/>
          <w:sz w:val="24"/>
          <w:szCs w:val="24"/>
          <w:highlight w:val="none"/>
        </w:rPr>
      </w:pPr>
      <w:bookmarkStart w:id="54" w:name="_Toc32075"/>
      <w:bookmarkStart w:id="55" w:name="_Toc30177"/>
      <w:r>
        <w:rPr>
          <w:rFonts w:hint="eastAsia" w:ascii="宋体" w:hAnsi="宋体" w:eastAsia="宋体" w:cs="宋体"/>
          <w:b/>
          <w:bCs/>
          <w:color w:val="auto"/>
          <w:sz w:val="24"/>
          <w:szCs w:val="24"/>
          <w:highlight w:val="none"/>
        </w:rPr>
        <w:t>17.投标有效期 (实质性要求)</w:t>
      </w:r>
      <w:bookmarkEnd w:id="54"/>
      <w:bookmarkEnd w:id="55"/>
    </w:p>
    <w:p w14:paraId="11DA7E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b/>
          <w:bCs/>
          <w:color w:val="auto"/>
          <w:sz w:val="24"/>
          <w:szCs w:val="24"/>
          <w:highlight w:val="none"/>
        </w:rPr>
        <w:t>本项目投标有效期为投标截止之日起90天</w:t>
      </w:r>
      <w:r>
        <w:rPr>
          <w:rFonts w:hint="eastAsia" w:ascii="宋体" w:hAnsi="宋体" w:eastAsia="宋体" w:cs="宋体"/>
          <w:color w:val="auto"/>
          <w:sz w:val="24"/>
          <w:szCs w:val="24"/>
          <w:highlight w:val="none"/>
        </w:rPr>
        <w:t>。投标人投标文件中必须载明投标有效期，投标文件中载明的投标有效期可以长于招标文件规定的期限，但不得短于招标文件规定的期限。否则，其投标文件将作为无效投标处理。</w:t>
      </w:r>
    </w:p>
    <w:p w14:paraId="1750CB4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事件，招标人可于投标有效期届满之前与投标人协商延长投标有效期。投标人拒绝延长投标有效期的，不得再参与该项目后续采购活动，但由此给投标人造成的损失，招标人可以自主决定是否可以给予适当补偿。投标人同意延长投标有效期的，不能修改投标文件。</w:t>
      </w:r>
    </w:p>
    <w:p w14:paraId="3069816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因招标人采购需求作出必要调整，招标人可于投标有效期届满之前与投标人协商延长投标有效期。投标人拒绝延长投标有效期的，不得再参与该项目后续采购活动，但由此给投标人造成的损失，招标人应当予以赔偿或者合理补偿。投标人同意延长投标有效期的，不能修改投标文件。</w:t>
      </w:r>
    </w:p>
    <w:p w14:paraId="53C4FBF5">
      <w:pPr>
        <w:spacing w:line="240" w:lineRule="auto"/>
        <w:outlineLvl w:val="9"/>
        <w:rPr>
          <w:rFonts w:ascii="宋体" w:hAnsi="宋体" w:eastAsia="宋体" w:cs="宋体"/>
          <w:b/>
          <w:bCs/>
          <w:color w:val="auto"/>
          <w:sz w:val="24"/>
          <w:szCs w:val="24"/>
          <w:highlight w:val="none"/>
        </w:rPr>
      </w:pPr>
      <w:bookmarkStart w:id="56" w:name="_Toc2789"/>
      <w:bookmarkStart w:id="57" w:name="_Toc4045"/>
      <w:r>
        <w:rPr>
          <w:rFonts w:hint="eastAsia" w:ascii="宋体" w:hAnsi="宋体" w:eastAsia="宋体" w:cs="宋体"/>
          <w:b/>
          <w:bCs/>
          <w:color w:val="auto"/>
          <w:sz w:val="24"/>
          <w:szCs w:val="24"/>
          <w:highlight w:val="none"/>
        </w:rPr>
        <w:t>18.投标文件的印制和签署</w:t>
      </w:r>
      <w:bookmarkEnd w:id="56"/>
      <w:bookmarkEnd w:id="57"/>
    </w:p>
    <w:p w14:paraId="6B99490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投标文件分为“资格性投标文件”和“其他响应性投标文件”两部分。</w:t>
      </w:r>
    </w:p>
    <w:p w14:paraId="61FA291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bCs/>
          <w:color w:val="auto"/>
          <w:sz w:val="24"/>
          <w:szCs w:val="24"/>
          <w:highlight w:val="none"/>
        </w:rPr>
        <w:t>资格性投标文件正本1份副本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，并在其封面上清楚地标明资格性投标文件、项目名称、项目编号、投标人名称以 及“正本”或“副本”字样。若正本和副本有不一致的内容，以正本书面投标文件为准。</w:t>
      </w:r>
    </w:p>
    <w:p w14:paraId="10AAC9D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bCs/>
          <w:color w:val="auto"/>
          <w:sz w:val="24"/>
          <w:szCs w:val="24"/>
          <w:highlight w:val="none"/>
        </w:rPr>
        <w:t>其他响应性投标文件正本1份副本</w:t>
      </w:r>
      <w:r>
        <w:rPr>
          <w:rFonts w:hint="default"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，并在其封面上清楚地标明其他响应性投标文件、项目名称、项目编号、投标人名称以及“正本”或“副本”字样。若正本和副本有不一致的内容，以正本书面投标文件为准。</w:t>
      </w:r>
    </w:p>
    <w:p w14:paraId="0978C47F">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投标人编制的其他响应性投标文件正本中应当包含投标函、开标一览表等内容。</w:t>
      </w:r>
    </w:p>
    <w:p w14:paraId="6700324B">
      <w:pPr>
        <w:pStyle w:val="15"/>
        <w:spacing w:after="0"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bCs/>
          <w:color w:val="auto"/>
          <w:sz w:val="24"/>
          <w:szCs w:val="24"/>
          <w:highlight w:val="none"/>
        </w:rPr>
        <w:t>“电子文档”1份</w:t>
      </w:r>
      <w:r>
        <w:rPr>
          <w:rFonts w:hint="eastAsia" w:ascii="宋体" w:hAnsi="宋体" w:eastAsia="宋体" w:cs="宋体"/>
          <w:color w:val="auto"/>
          <w:sz w:val="24"/>
          <w:szCs w:val="24"/>
          <w:highlight w:val="none"/>
        </w:rPr>
        <w:t>（电子文档应采用U盘制作包括资格性投标文件</w:t>
      </w:r>
      <w:r>
        <w:rPr>
          <w:rFonts w:hint="eastAsia" w:ascii="宋体" w:hAnsi="宋体" w:eastAsia="宋体" w:cs="宋体"/>
          <w:color w:val="auto"/>
          <w:sz w:val="24"/>
          <w:szCs w:val="24"/>
          <w:highlight w:val="none"/>
          <w:lang w:eastAsia="zh-CN"/>
        </w:rPr>
        <w:t>和其他</w:t>
      </w:r>
      <w:r>
        <w:rPr>
          <w:rFonts w:hint="eastAsia" w:ascii="宋体" w:hAnsi="宋体" w:eastAsia="宋体" w:cs="宋体"/>
          <w:color w:val="auto"/>
          <w:sz w:val="24"/>
          <w:szCs w:val="24"/>
          <w:highlight w:val="none"/>
        </w:rPr>
        <w:t>响应性投标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，电子文档和递交的纸质文件完全一致）。</w:t>
      </w:r>
    </w:p>
    <w:p w14:paraId="12F6468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18.5 单独提供用于开标唱标的“开标一览表”原件1份(实质性要求) ，</w:t>
      </w:r>
      <w:r>
        <w:rPr>
          <w:rFonts w:ascii="宋体" w:hAnsi="宋体" w:eastAsia="宋体" w:cs="宋体"/>
          <w:color w:val="auto"/>
          <w:sz w:val="24"/>
          <w:szCs w:val="24"/>
          <w:highlight w:val="none"/>
        </w:rPr>
        <w:t>并清楚地标明开标一览表、项目名称、项目编号、投标人名称。</w:t>
      </w:r>
    </w:p>
    <w:p w14:paraId="60C5BD12">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投标文件的正本和副本均需打印或用不褪色、不变质的墨水书写，并由投标人的法定代表人(负责人)或其授权代表在规定签章处签字或盖章 </w:t>
      </w:r>
      <w:r>
        <w:rPr>
          <w:rFonts w:hint="eastAsia" w:ascii="宋体" w:hAnsi="宋体" w:eastAsia="宋体" w:cs="宋体"/>
          <w:b/>
          <w:bCs/>
          <w:color w:val="auto"/>
          <w:sz w:val="24"/>
          <w:szCs w:val="24"/>
          <w:highlight w:val="none"/>
        </w:rPr>
        <w:t xml:space="preserve">(要求加盖公章的地方加盖单位公章，不得使用专用章(如经济合同章、投标专用章等)或下属单位印章代替) </w:t>
      </w:r>
      <w:r>
        <w:rPr>
          <w:rFonts w:ascii="宋体" w:hAnsi="宋体" w:eastAsia="宋体" w:cs="宋体"/>
          <w:color w:val="auto"/>
          <w:sz w:val="24"/>
          <w:szCs w:val="24"/>
          <w:highlight w:val="none"/>
        </w:rPr>
        <w:t>。投标文件副本可采用正本的复印件。</w:t>
      </w:r>
    </w:p>
    <w:p w14:paraId="1E410B7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18.7 投标文件的打印和书写应清楚工整，任何行间插字、涂改或增删，</w:t>
      </w:r>
      <w:r>
        <w:rPr>
          <w:rFonts w:hint="eastAsia" w:ascii="宋体" w:hAnsi="宋体" w:eastAsia="宋体" w:cs="宋体"/>
          <w:b/>
          <w:bCs/>
          <w:color w:val="auto"/>
          <w:sz w:val="24"/>
          <w:szCs w:val="24"/>
          <w:highlight w:val="none"/>
        </w:rPr>
        <w:t>必须由投标人的法定代表人(负责人)或其授权代表签字或盖个人印鉴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（实质性要求）</w:t>
      </w:r>
    </w:p>
    <w:p w14:paraId="779E2950">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18.8 投标文件正本和副本应当采取胶装方式装订成册，不得散装或者活页装订。</w:t>
      </w:r>
    </w:p>
    <w:p w14:paraId="726A543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18.9 投标文件应根据招标文件的要求制作，签署、盖章和内容应完整。</w:t>
      </w:r>
    </w:p>
    <w:p w14:paraId="617167A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18.10 投标文件统一用A4幅面纸印制，逐页编码。</w:t>
      </w:r>
    </w:p>
    <w:p w14:paraId="1A16F42A">
      <w:pPr>
        <w:spacing w:line="240" w:lineRule="auto"/>
        <w:ind w:firstLine="241" w:firstLineChars="100"/>
        <w:rPr>
          <w:color w:val="auto"/>
          <w:sz w:val="24"/>
          <w:szCs w:val="24"/>
          <w:highlight w:val="none"/>
        </w:rPr>
      </w:pPr>
      <w:r>
        <w:rPr>
          <w:rFonts w:hint="eastAsia" w:ascii="宋体" w:hAnsi="宋体" w:eastAsia="宋体" w:cs="宋体"/>
          <w:b/>
          <w:bCs/>
          <w:color w:val="auto"/>
          <w:sz w:val="24"/>
          <w:szCs w:val="24"/>
          <w:highlight w:val="none"/>
        </w:rPr>
        <w:t>根据《关于促进政府采购公平竞争优化营商环境的通知》(财库〔2019〕38号)不得因装订、纸张、文件排序等非实质性的格式、形式问题限制和影响供应商投标。</w:t>
      </w:r>
    </w:p>
    <w:p w14:paraId="1EF06779">
      <w:pPr>
        <w:spacing w:line="240" w:lineRule="auto"/>
        <w:outlineLvl w:val="9"/>
        <w:rPr>
          <w:rFonts w:ascii="宋体" w:hAnsi="宋体" w:eastAsia="宋体" w:cs="宋体"/>
          <w:b/>
          <w:bCs/>
          <w:color w:val="auto"/>
          <w:sz w:val="24"/>
          <w:szCs w:val="24"/>
          <w:highlight w:val="none"/>
        </w:rPr>
      </w:pPr>
      <w:bookmarkStart w:id="58" w:name="_Toc14198"/>
      <w:bookmarkStart w:id="59" w:name="_Toc31984"/>
      <w:r>
        <w:rPr>
          <w:rFonts w:hint="eastAsia" w:ascii="宋体" w:hAnsi="宋体" w:eastAsia="宋体" w:cs="宋体"/>
          <w:b/>
          <w:bCs/>
          <w:color w:val="auto"/>
          <w:sz w:val="24"/>
          <w:szCs w:val="24"/>
          <w:highlight w:val="none"/>
        </w:rPr>
        <w:t>19.投标文件的密封和标注</w:t>
      </w:r>
      <w:bookmarkEnd w:id="58"/>
      <w:bookmarkEnd w:id="59"/>
    </w:p>
    <w:p w14:paraId="06DCDBD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投标人应在投标文件正本和所有副本的封面上注明投标人名称、招标编号、项目名称。</w:t>
      </w:r>
    </w:p>
    <w:p w14:paraId="533E8DB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投标文件包括正本、副本、电子文档和</w:t>
      </w:r>
      <w:r>
        <w:rPr>
          <w:rFonts w:hint="eastAsia" w:ascii="宋体" w:hAnsi="宋体" w:eastAsia="宋体" w:cs="宋体"/>
          <w:b/>
          <w:bCs/>
          <w:color w:val="auto"/>
          <w:sz w:val="24"/>
          <w:szCs w:val="24"/>
          <w:highlight w:val="none"/>
        </w:rPr>
        <w:t>用于开标唱标单独提交的“开标一览表”，应分别封装于不同的密封袋内</w:t>
      </w:r>
      <w:r>
        <w:rPr>
          <w:rFonts w:hint="eastAsia" w:ascii="宋体" w:hAnsi="宋体" w:eastAsia="宋体" w:cs="宋体"/>
          <w:color w:val="auto"/>
          <w:sz w:val="24"/>
          <w:szCs w:val="24"/>
          <w:highlight w:val="none"/>
        </w:rPr>
        <w:t>，密封袋上应分别标上“正本”、“副本”、“开标一览表”字样,并注明投标人名称、招标编号、项目名称。</w:t>
      </w:r>
    </w:p>
    <w:p w14:paraId="721D548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所有外层密封袋的封口处应粘贴牢固，并加盖密封章(投标人公章) 。</w:t>
      </w:r>
    </w:p>
    <w:p w14:paraId="4BDC8ED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b/>
          <w:bCs/>
          <w:color w:val="auto"/>
          <w:sz w:val="24"/>
          <w:szCs w:val="24"/>
          <w:highlight w:val="none"/>
        </w:rPr>
        <w:t>未按要求进行密封的投标文件将被拒收或者在时间允许的范围内(投标截止时间前)，要求修改完善后接收。</w:t>
      </w:r>
    </w:p>
    <w:p w14:paraId="40AE28AD">
      <w:pPr>
        <w:spacing w:line="240" w:lineRule="auto"/>
        <w:outlineLvl w:val="9"/>
        <w:rPr>
          <w:color w:val="auto"/>
          <w:sz w:val="24"/>
          <w:szCs w:val="24"/>
          <w:highlight w:val="none"/>
        </w:rPr>
      </w:pPr>
      <w:bookmarkStart w:id="60" w:name="_Toc26758"/>
      <w:bookmarkStart w:id="61" w:name="_Toc22039"/>
      <w:r>
        <w:rPr>
          <w:rFonts w:hint="eastAsia" w:ascii="宋体" w:hAnsi="宋体" w:eastAsia="宋体" w:cs="宋体"/>
          <w:b/>
          <w:bCs/>
          <w:color w:val="auto"/>
          <w:sz w:val="24"/>
          <w:szCs w:val="24"/>
          <w:highlight w:val="none"/>
        </w:rPr>
        <w:t>20.投标文件的递交</w:t>
      </w:r>
      <w:bookmarkEnd w:id="60"/>
      <w:bookmarkEnd w:id="61"/>
    </w:p>
    <w:p w14:paraId="46E18D5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14:paraId="152A5F8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递交投标文件时，报名供应商名称和招标文件的招标编号应当与投标供应商名称和招标文件的招标编号一致。但是，投标文件实质内容报名供应商名称和招标文件的招标编号一致，只是封面文字错误的，可以在评标过程中当面予以澄清，以有效的澄清材料作为认定投标文件是否有效的依据。</w:t>
      </w:r>
    </w:p>
    <w:p w14:paraId="5B78F6D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20.3 本次招标不接收邮寄的投标文件。</w:t>
      </w:r>
    </w:p>
    <w:p w14:paraId="25351010">
      <w:pPr>
        <w:spacing w:line="240" w:lineRule="auto"/>
        <w:outlineLvl w:val="9"/>
        <w:rPr>
          <w:rFonts w:ascii="宋体" w:hAnsi="宋体" w:eastAsia="宋体" w:cs="宋体"/>
          <w:b/>
          <w:bCs/>
          <w:color w:val="auto"/>
          <w:sz w:val="24"/>
          <w:szCs w:val="24"/>
          <w:highlight w:val="none"/>
        </w:rPr>
      </w:pPr>
      <w:bookmarkStart w:id="62" w:name="_Toc8626"/>
      <w:bookmarkStart w:id="63" w:name="_Toc24550"/>
      <w:r>
        <w:rPr>
          <w:rFonts w:hint="eastAsia" w:ascii="宋体" w:hAnsi="宋体" w:eastAsia="宋体" w:cs="宋体"/>
          <w:b/>
          <w:bCs/>
          <w:color w:val="auto"/>
          <w:sz w:val="24"/>
          <w:szCs w:val="24"/>
          <w:highlight w:val="none"/>
        </w:rPr>
        <w:t>21.投标文件的修改和撤回</w:t>
      </w:r>
      <w:bookmarkEnd w:id="62"/>
      <w:bookmarkEnd w:id="63"/>
    </w:p>
    <w:p w14:paraId="35FD004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投标人在递交了投标文件后，可以修改或撤回其投标文件，但必须在规定的投标截止时间前，以书面形式通知招标代理机构。</w:t>
      </w:r>
    </w:p>
    <w:p w14:paraId="7F73C9C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投标人的修改书或撤回通知书，应由其法定代表人/单位负责人或授权代表签署并盖单位印章。修改书应按投标须知第19条规定进行密封和标注，并在密封袋上标注“修改”字样。</w:t>
      </w:r>
    </w:p>
    <w:p w14:paraId="55663A0F">
      <w:pPr>
        <w:spacing w:line="240" w:lineRule="auto"/>
        <w:ind w:firstLine="240" w:firstLineChars="100"/>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21.3 在投标截止时间之后，投标人不得对其递交的投标文件</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任何修改，撤销投标的，将按照有关规定进行相应处理。</w:t>
      </w:r>
    </w:p>
    <w:p w14:paraId="4BD613E2">
      <w:pPr>
        <w:spacing w:line="240" w:lineRule="auto"/>
        <w:ind w:firstLine="622" w:firstLineChars="200"/>
        <w:jc w:val="center"/>
        <w:outlineLvl w:val="1"/>
        <w:rPr>
          <w:rFonts w:ascii="宋体" w:hAnsi="宋体" w:eastAsia="宋体" w:cs="宋体"/>
          <w:b/>
          <w:bCs/>
          <w:color w:val="auto"/>
          <w:sz w:val="31"/>
          <w:szCs w:val="31"/>
          <w:highlight w:val="none"/>
        </w:rPr>
      </w:pPr>
      <w:bookmarkStart w:id="64" w:name="_Toc22870"/>
      <w:bookmarkStart w:id="65" w:name="_Toc31519"/>
      <w:r>
        <w:rPr>
          <w:rFonts w:hint="eastAsia" w:ascii="宋体" w:hAnsi="宋体" w:eastAsia="宋体" w:cs="宋体"/>
          <w:b/>
          <w:bCs/>
          <w:color w:val="auto"/>
          <w:sz w:val="31"/>
          <w:szCs w:val="31"/>
          <w:highlight w:val="none"/>
        </w:rPr>
        <w:t>五、开标和中标</w:t>
      </w:r>
      <w:bookmarkEnd w:id="64"/>
      <w:bookmarkEnd w:id="65"/>
    </w:p>
    <w:p w14:paraId="392EE03B">
      <w:pPr>
        <w:spacing w:line="240" w:lineRule="auto"/>
        <w:outlineLvl w:val="9"/>
        <w:rPr>
          <w:rFonts w:ascii="宋体" w:hAnsi="宋体" w:eastAsia="宋体" w:cs="宋体"/>
          <w:b/>
          <w:bCs/>
          <w:color w:val="auto"/>
          <w:sz w:val="24"/>
          <w:szCs w:val="24"/>
          <w:highlight w:val="none"/>
        </w:rPr>
      </w:pPr>
      <w:bookmarkStart w:id="66" w:name="_Toc29236"/>
      <w:bookmarkStart w:id="67" w:name="_Toc4256"/>
      <w:r>
        <w:rPr>
          <w:rFonts w:hint="eastAsia" w:ascii="宋体" w:hAnsi="宋体" w:eastAsia="宋体" w:cs="宋体"/>
          <w:b/>
          <w:bCs/>
          <w:color w:val="auto"/>
          <w:sz w:val="24"/>
          <w:szCs w:val="24"/>
          <w:highlight w:val="none"/>
        </w:rPr>
        <w:t>22.开标</w:t>
      </w:r>
      <w:bookmarkEnd w:id="66"/>
      <w:bookmarkEnd w:id="67"/>
    </w:p>
    <w:p w14:paraId="07D0A9B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在招标文件规定的时间和地点公开进行，招标人、投标人须派代表参加并签到以证明其出席（没有派代表参加开标活动视为认同开标结果）。开标由招标代理机构主持，邀请招标人、投标人代表参加。评标委员会成员不参加开标活动。</w:t>
      </w:r>
    </w:p>
    <w:p w14:paraId="161D721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开标时，可根据具体情况邀请有关监督管理部门对开标活动进行现场监督。</w:t>
      </w:r>
    </w:p>
    <w:p w14:paraId="26B0607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14:paraId="383C2F7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2A70FA4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14:paraId="3DD6004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投标文件中相关内容与“开标一览表”不一致的，以“开标一览表”为准。对不同文字文本投标文件的解释发生异议的，以中文文本为准。</w:t>
      </w:r>
    </w:p>
    <w:p w14:paraId="467C9DE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14:paraId="7977D0B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22.7 投标人不足3家的，不得开标。</w:t>
      </w:r>
    </w:p>
    <w:p w14:paraId="14D3AC0E">
      <w:pPr>
        <w:spacing w:line="240" w:lineRule="auto"/>
        <w:outlineLvl w:val="9"/>
        <w:rPr>
          <w:rFonts w:ascii="宋体" w:hAnsi="宋体" w:eastAsia="宋体" w:cs="宋体"/>
          <w:b/>
          <w:bCs/>
          <w:color w:val="auto"/>
          <w:sz w:val="24"/>
          <w:szCs w:val="24"/>
          <w:highlight w:val="none"/>
        </w:rPr>
      </w:pPr>
      <w:bookmarkStart w:id="68" w:name="_Toc29751"/>
      <w:bookmarkStart w:id="69" w:name="_Toc1890"/>
      <w:r>
        <w:rPr>
          <w:rFonts w:hint="eastAsia" w:ascii="宋体" w:hAnsi="宋体" w:eastAsia="宋体" w:cs="宋体"/>
          <w:b/>
          <w:bCs/>
          <w:color w:val="auto"/>
          <w:sz w:val="24"/>
          <w:szCs w:val="24"/>
          <w:highlight w:val="none"/>
        </w:rPr>
        <w:t>23.开标程序</w:t>
      </w:r>
      <w:bookmarkEnd w:id="68"/>
      <w:bookmarkEnd w:id="69"/>
    </w:p>
    <w:p w14:paraId="02FCE6C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开标会主持人按照招标文件规定的开标时间宣布开标，按照规定要求主持开标会。开标将按以下程序进行：</w:t>
      </w:r>
    </w:p>
    <w:p w14:paraId="5DB0A8B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宣布开标会开始。当众宣布参加开标会主持人、唱标人、会议记录人以及根据情况邀请的现场监督人等工作人员，根据“投标人签到表”宣布参加投标的投标人名单。</w:t>
      </w:r>
    </w:p>
    <w:p w14:paraId="0D6809A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根据投标人或者其推选的代表对投标文件密封的检查结果，当众宣布</w:t>
      </w:r>
      <w:r>
        <w:rPr>
          <w:rFonts w:ascii="宋体" w:hAnsi="宋体" w:eastAsia="宋体" w:cs="宋体"/>
          <w:color w:val="auto"/>
          <w:sz w:val="24"/>
          <w:szCs w:val="24"/>
          <w:highlight w:val="none"/>
        </w:rPr>
        <w:t>投标文件的密封情况。</w:t>
      </w:r>
    </w:p>
    <w:p w14:paraId="0DD0E52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开标唱标。主持人宣布开标后，由现场工作人员按任意顺序对投标人的“开标一览表”当众进行拆封，由唱标人员宣读投标人名称、投标价格(价格折扣) 。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 会议记录人在开标记录中予以记录，或者另行提供书面异议资料，不签字又不提出异议的，视同认可唱标内容和结果，且不得干扰、阻挠开(唱)标、评标工作。</w:t>
      </w:r>
    </w:p>
    <w:p w14:paraId="2A702BD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中国招标投标公共服务平台（http://www.cebpubservice.com/）上查询。</w:t>
      </w:r>
    </w:p>
    <w:p w14:paraId="7710E7D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投标人未参加开标的，视同认可开标结果。</w:t>
      </w:r>
    </w:p>
    <w:p w14:paraId="006C8626">
      <w:pPr>
        <w:spacing w:line="240" w:lineRule="auto"/>
        <w:outlineLvl w:val="9"/>
        <w:rPr>
          <w:rFonts w:ascii="宋体" w:hAnsi="宋体" w:eastAsia="宋体" w:cs="宋体"/>
          <w:b/>
          <w:bCs/>
          <w:color w:val="auto"/>
          <w:sz w:val="24"/>
          <w:szCs w:val="24"/>
          <w:highlight w:val="none"/>
        </w:rPr>
      </w:pPr>
      <w:bookmarkStart w:id="70" w:name="_Toc9321"/>
      <w:bookmarkStart w:id="71" w:name="_Toc30446"/>
      <w:r>
        <w:rPr>
          <w:rFonts w:hint="eastAsia" w:ascii="宋体" w:hAnsi="宋体" w:eastAsia="宋体" w:cs="宋体"/>
          <w:b/>
          <w:bCs/>
          <w:color w:val="auto"/>
          <w:sz w:val="24"/>
          <w:szCs w:val="24"/>
          <w:highlight w:val="none"/>
        </w:rPr>
        <w:t>24.开评标过程存档</w:t>
      </w:r>
      <w:bookmarkEnd w:id="70"/>
      <w:bookmarkEnd w:id="71"/>
    </w:p>
    <w:p w14:paraId="5F472FE4">
      <w:pPr>
        <w:spacing w:before="75" w:line="240" w:lineRule="auto"/>
        <w:ind w:left="24"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开标和评标过程进行全过程电子监控，并将电子监控资料存储介质留存归档。</w:t>
      </w:r>
    </w:p>
    <w:p w14:paraId="56EA96CF">
      <w:pPr>
        <w:spacing w:line="240" w:lineRule="auto"/>
        <w:outlineLvl w:val="9"/>
        <w:rPr>
          <w:rFonts w:ascii="宋体" w:hAnsi="宋体" w:eastAsia="宋体" w:cs="宋体"/>
          <w:b/>
          <w:bCs/>
          <w:color w:val="auto"/>
          <w:sz w:val="24"/>
          <w:szCs w:val="24"/>
          <w:highlight w:val="none"/>
        </w:rPr>
      </w:pPr>
      <w:bookmarkStart w:id="72" w:name="_Toc20820"/>
      <w:bookmarkStart w:id="73" w:name="_Toc28605"/>
      <w:r>
        <w:rPr>
          <w:rFonts w:hint="eastAsia" w:ascii="宋体" w:hAnsi="宋体" w:eastAsia="宋体" w:cs="宋体"/>
          <w:b/>
          <w:bCs/>
          <w:color w:val="auto"/>
          <w:sz w:val="24"/>
          <w:szCs w:val="24"/>
          <w:highlight w:val="none"/>
        </w:rPr>
        <w:t>25.资格审查</w:t>
      </w:r>
      <w:bookmarkEnd w:id="72"/>
      <w:bookmarkEnd w:id="73"/>
    </w:p>
    <w:p w14:paraId="7D86824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招标人或者招标代理机构依据法律法规和本招标文件的规定，对投标文件是否按照规定要求提供资格性证明材料、是否属于禁止参加投标的供应商等进行审查，以确定投标供应商是否具备投标资格。</w:t>
      </w:r>
    </w:p>
    <w:p w14:paraId="5BE63855">
      <w:pPr>
        <w:spacing w:line="240" w:lineRule="auto"/>
        <w:outlineLvl w:val="9"/>
        <w:rPr>
          <w:rFonts w:ascii="宋体" w:hAnsi="宋体" w:eastAsia="宋体" w:cs="宋体"/>
          <w:b/>
          <w:bCs/>
          <w:color w:val="auto"/>
          <w:sz w:val="24"/>
          <w:szCs w:val="24"/>
          <w:highlight w:val="none"/>
        </w:rPr>
      </w:pPr>
      <w:bookmarkStart w:id="74" w:name="_Toc9764"/>
      <w:bookmarkStart w:id="75" w:name="_Toc12670"/>
      <w:r>
        <w:rPr>
          <w:rFonts w:hint="eastAsia" w:ascii="宋体" w:hAnsi="宋体" w:eastAsia="宋体" w:cs="宋体"/>
          <w:b/>
          <w:bCs/>
          <w:color w:val="auto"/>
          <w:sz w:val="24"/>
          <w:szCs w:val="24"/>
          <w:highlight w:val="none"/>
        </w:rPr>
        <w:t>26.评标情况公告</w:t>
      </w:r>
      <w:bookmarkEnd w:id="74"/>
      <w:bookmarkEnd w:id="75"/>
    </w:p>
    <w:p w14:paraId="79D5A6FB">
      <w:pPr>
        <w:spacing w:line="240" w:lineRule="auto"/>
        <w:ind w:firstLine="480" w:firstLineChars="200"/>
        <w:outlineLvl w:val="9"/>
        <w:rPr>
          <w:rFonts w:ascii="宋体" w:hAnsi="宋体" w:eastAsia="宋体" w:cs="宋体"/>
          <w:color w:val="auto"/>
          <w:sz w:val="24"/>
          <w:szCs w:val="24"/>
          <w:highlight w:val="none"/>
        </w:rPr>
      </w:pPr>
      <w:bookmarkStart w:id="76" w:name="_Toc15851"/>
      <w:bookmarkStart w:id="77" w:name="_Toc31460"/>
      <w:r>
        <w:rPr>
          <w:rFonts w:hint="eastAsia" w:ascii="宋体" w:hAnsi="宋体" w:eastAsia="宋体" w:cs="宋体"/>
          <w:color w:val="auto"/>
          <w:sz w:val="24"/>
          <w:szCs w:val="24"/>
          <w:highlight w:val="none"/>
        </w:rPr>
        <w:t>评标结果将在中国招标投标公共服务平台（http://www.cebpubservice.com/）上采购结果公告栏中予以公告。</w:t>
      </w:r>
      <w:bookmarkEnd w:id="76"/>
      <w:bookmarkEnd w:id="77"/>
    </w:p>
    <w:p w14:paraId="4222C0FC">
      <w:pPr>
        <w:spacing w:line="240" w:lineRule="auto"/>
        <w:outlineLvl w:val="9"/>
        <w:rPr>
          <w:rFonts w:ascii="宋体" w:hAnsi="宋体" w:eastAsia="宋体" w:cs="宋体"/>
          <w:b/>
          <w:bCs/>
          <w:color w:val="auto"/>
          <w:sz w:val="24"/>
          <w:szCs w:val="24"/>
          <w:highlight w:val="none"/>
        </w:rPr>
      </w:pPr>
      <w:bookmarkStart w:id="78" w:name="_Toc17782"/>
      <w:bookmarkStart w:id="79" w:name="_Toc11479"/>
      <w:r>
        <w:rPr>
          <w:rFonts w:hint="eastAsia" w:ascii="宋体" w:hAnsi="宋体" w:eastAsia="宋体" w:cs="宋体"/>
          <w:b/>
          <w:bCs/>
          <w:color w:val="auto"/>
          <w:sz w:val="24"/>
          <w:szCs w:val="24"/>
          <w:highlight w:val="none"/>
        </w:rPr>
        <w:t>27.中标通知书</w:t>
      </w:r>
      <w:bookmarkEnd w:id="78"/>
      <w:bookmarkEnd w:id="79"/>
    </w:p>
    <w:p w14:paraId="4EBCFE10">
      <w:pPr>
        <w:spacing w:line="240" w:lineRule="auto"/>
        <w:ind w:firstLine="480" w:firstLineChars="200"/>
        <w:outlineLvl w:val="9"/>
        <w:rPr>
          <w:rFonts w:ascii="宋体" w:hAnsi="宋体" w:eastAsia="宋体" w:cs="宋体"/>
          <w:color w:val="auto"/>
          <w:sz w:val="24"/>
          <w:szCs w:val="24"/>
          <w:highlight w:val="none"/>
        </w:rPr>
      </w:pPr>
      <w:bookmarkStart w:id="80" w:name="_Toc4779"/>
      <w:bookmarkStart w:id="81" w:name="_Toc14648"/>
      <w:r>
        <w:rPr>
          <w:rFonts w:hint="eastAsia" w:ascii="宋体" w:hAnsi="宋体" w:eastAsia="宋体" w:cs="宋体"/>
          <w:color w:val="auto"/>
          <w:sz w:val="24"/>
          <w:szCs w:val="24"/>
          <w:highlight w:val="none"/>
        </w:rPr>
        <w:t>27.1 中标通知书为签订采购合同的依据之一，是合同的有效组成部分。</w:t>
      </w:r>
      <w:bookmarkEnd w:id="80"/>
      <w:bookmarkEnd w:id="81"/>
    </w:p>
    <w:p w14:paraId="0AB048B8">
      <w:pPr>
        <w:spacing w:line="240" w:lineRule="auto"/>
        <w:ind w:left="22" w:right="13"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中标通知书对</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和中标人均具有法律效力。中标通知书发出后，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改变中标结果，或者中标人无正当理由放弃中标的，应当承担相应的法律责任。</w:t>
      </w:r>
    </w:p>
    <w:p w14:paraId="71FCE80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ascii="宋体" w:hAnsi="宋体" w:eastAsia="宋体" w:cs="宋体"/>
          <w:color w:val="auto"/>
          <w:sz w:val="24"/>
          <w:szCs w:val="24"/>
          <w:highlight w:val="none"/>
        </w:rPr>
        <w:t xml:space="preserve">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0DD2B3E">
      <w:pPr>
        <w:spacing w:before="3" w:line="240" w:lineRule="auto"/>
        <w:ind w:left="23" w:right="13"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中标公告发出后，中标人自行领取中标通知书的，可凭有效身份证明证件到</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领取中标通知书</w:t>
      </w:r>
      <w:r>
        <w:rPr>
          <w:rFonts w:hint="eastAsia" w:ascii="宋体" w:hAnsi="宋体" w:eastAsia="宋体" w:cs="宋体"/>
          <w:color w:val="auto"/>
          <w:sz w:val="24"/>
          <w:szCs w:val="24"/>
          <w:highlight w:val="none"/>
        </w:rPr>
        <w:t>或联系招标代理机构工作人员邮寄中标通知书</w:t>
      </w:r>
      <w:r>
        <w:rPr>
          <w:rFonts w:ascii="宋体" w:hAnsi="宋体" w:eastAsia="宋体" w:cs="宋体"/>
          <w:color w:val="auto"/>
          <w:sz w:val="24"/>
          <w:szCs w:val="24"/>
          <w:highlight w:val="none"/>
        </w:rPr>
        <w:t>。(详见投标人须知附表) 。</w:t>
      </w:r>
    </w:p>
    <w:p w14:paraId="71701077">
      <w:pPr>
        <w:spacing w:line="240" w:lineRule="auto"/>
        <w:outlineLvl w:val="9"/>
        <w:rPr>
          <w:rFonts w:ascii="宋体" w:hAnsi="宋体" w:eastAsia="宋体" w:cs="宋体"/>
          <w:b/>
          <w:bCs/>
          <w:color w:val="auto"/>
          <w:sz w:val="24"/>
          <w:szCs w:val="24"/>
          <w:highlight w:val="none"/>
        </w:rPr>
      </w:pPr>
      <w:bookmarkStart w:id="82" w:name="_Toc6436"/>
      <w:bookmarkStart w:id="83" w:name="_Toc25160"/>
      <w:r>
        <w:rPr>
          <w:rFonts w:hint="eastAsia" w:ascii="宋体" w:hAnsi="宋体" w:eastAsia="宋体" w:cs="宋体"/>
          <w:b/>
          <w:bCs/>
          <w:color w:val="auto"/>
          <w:sz w:val="24"/>
          <w:szCs w:val="24"/>
          <w:highlight w:val="none"/>
        </w:rPr>
        <w:t>28.行贿犯罪档案查询</w:t>
      </w:r>
      <w:bookmarkEnd w:id="82"/>
      <w:bookmarkEnd w:id="83"/>
    </w:p>
    <w:p w14:paraId="111981A1">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在行贿犯罪信息查询期限内，</w:t>
      </w:r>
      <w:r>
        <w:rPr>
          <w:rFonts w:ascii="宋体" w:hAnsi="宋体" w:eastAsia="宋体" w:cs="宋体"/>
          <w:color w:val="auto"/>
          <w:sz w:val="24"/>
          <w:szCs w:val="24"/>
          <w:highlight w:val="none"/>
        </w:rPr>
        <w:t>供应商单位及其现任法定代表人、主要负责人存在行贿犯罪记录的，中标后未签订采购合同的，将认定中标无效；中标后签订采购合同未履行的，将认定中标无效，同时撤销采购合同；中标后签订采购合同且已经履行的，将认定采购活动违法，由相关当事人承担赔偿责任。</w:t>
      </w:r>
    </w:p>
    <w:p w14:paraId="5D15B3E1">
      <w:pPr>
        <w:spacing w:line="240" w:lineRule="auto"/>
        <w:ind w:firstLine="622" w:firstLineChars="200"/>
        <w:jc w:val="center"/>
        <w:outlineLvl w:val="1"/>
        <w:rPr>
          <w:rFonts w:ascii="宋体" w:hAnsi="宋体" w:eastAsia="宋体" w:cs="宋体"/>
          <w:b/>
          <w:bCs/>
          <w:color w:val="auto"/>
          <w:sz w:val="31"/>
          <w:szCs w:val="31"/>
          <w:highlight w:val="none"/>
        </w:rPr>
      </w:pPr>
      <w:bookmarkStart w:id="84" w:name="_Toc12817"/>
      <w:bookmarkStart w:id="85" w:name="_Toc4574"/>
      <w:r>
        <w:rPr>
          <w:rFonts w:hint="eastAsia" w:ascii="宋体" w:hAnsi="宋体" w:eastAsia="宋体" w:cs="宋体"/>
          <w:b/>
          <w:bCs/>
          <w:color w:val="auto"/>
          <w:sz w:val="31"/>
          <w:szCs w:val="31"/>
          <w:highlight w:val="none"/>
        </w:rPr>
        <w:t>六、签订及履行合同和验收</w:t>
      </w:r>
      <w:bookmarkEnd w:id="84"/>
      <w:bookmarkEnd w:id="85"/>
    </w:p>
    <w:p w14:paraId="4B36721F">
      <w:pPr>
        <w:spacing w:line="240" w:lineRule="auto"/>
        <w:outlineLvl w:val="9"/>
        <w:rPr>
          <w:rFonts w:ascii="宋体" w:hAnsi="宋体" w:eastAsia="宋体" w:cs="宋体"/>
          <w:b/>
          <w:bCs/>
          <w:color w:val="auto"/>
          <w:sz w:val="24"/>
          <w:szCs w:val="24"/>
          <w:highlight w:val="none"/>
        </w:rPr>
      </w:pPr>
      <w:bookmarkStart w:id="86" w:name="_Toc20317"/>
      <w:bookmarkStart w:id="87" w:name="_Toc3408"/>
      <w:r>
        <w:rPr>
          <w:rFonts w:hint="eastAsia" w:ascii="宋体" w:hAnsi="宋体" w:eastAsia="宋体" w:cs="宋体"/>
          <w:b/>
          <w:bCs/>
          <w:color w:val="auto"/>
          <w:sz w:val="24"/>
          <w:szCs w:val="24"/>
          <w:highlight w:val="none"/>
        </w:rPr>
        <w:t>29.签订合同</w:t>
      </w:r>
      <w:bookmarkEnd w:id="86"/>
      <w:bookmarkEnd w:id="87"/>
    </w:p>
    <w:p w14:paraId="4E561D4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.1 中标人应在《中标通知书》发出之日起三十日内与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签订采购合同。由于中标人的原因逾期未与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签订采购合同的，将视为放弃中标，取消其中标资格并将按相关规定进行处理。</w:t>
      </w:r>
    </w:p>
    <w:p w14:paraId="75628239">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不得向中标人提出任何不合理的要求，作为签订合同的条件，不得与中标人私下订立背离合同实质性内容的任何协议，所签订的合同主要条款 应当与招标文件和中标人投标文件确定的内容一致。</w:t>
      </w:r>
    </w:p>
    <w:p w14:paraId="2664F30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.3 中标人因不可抗力原因不能履行采购合同或放弃中标的，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可以与排在中标人之后第一位的中标候选人签订采购合同，以此类推。</w:t>
      </w:r>
    </w:p>
    <w:p w14:paraId="737CFD8D">
      <w:pPr>
        <w:spacing w:line="240" w:lineRule="auto"/>
        <w:outlineLvl w:val="9"/>
        <w:rPr>
          <w:rFonts w:ascii="宋体" w:hAnsi="宋体" w:eastAsia="宋体" w:cs="宋体"/>
          <w:b/>
          <w:bCs/>
          <w:color w:val="auto"/>
          <w:sz w:val="24"/>
          <w:szCs w:val="24"/>
          <w:highlight w:val="none"/>
        </w:rPr>
      </w:pPr>
      <w:bookmarkStart w:id="88" w:name="_Toc24277"/>
      <w:bookmarkStart w:id="89" w:name="_Toc30385"/>
      <w:r>
        <w:rPr>
          <w:rFonts w:hint="eastAsia" w:ascii="宋体" w:hAnsi="宋体" w:eastAsia="宋体" w:cs="宋体"/>
          <w:b/>
          <w:bCs/>
          <w:color w:val="auto"/>
          <w:sz w:val="24"/>
          <w:szCs w:val="24"/>
          <w:highlight w:val="none"/>
        </w:rPr>
        <w:t>30. 合同分包 (实质性要求)</w:t>
      </w:r>
      <w:bookmarkEnd w:id="88"/>
      <w:bookmarkEnd w:id="89"/>
    </w:p>
    <w:p w14:paraId="70660DAC">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不</w:t>
      </w:r>
      <w:r>
        <w:rPr>
          <w:rFonts w:ascii="宋体" w:hAnsi="宋体" w:eastAsia="宋体" w:cs="宋体"/>
          <w:b/>
          <w:bCs/>
          <w:color w:val="auto"/>
          <w:sz w:val="24"/>
          <w:szCs w:val="24"/>
          <w:highlight w:val="none"/>
        </w:rPr>
        <w:t>接受合同分包。</w:t>
      </w:r>
    </w:p>
    <w:p w14:paraId="3A5DDF62">
      <w:pPr>
        <w:pStyle w:val="9"/>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30.1</w:t>
      </w:r>
      <w:r>
        <w:rPr>
          <w:rFonts w:hint="eastAsia" w:ascii="宋体" w:hAnsi="宋体" w:eastAsia="宋体" w:cs="宋体"/>
          <w:color w:val="auto"/>
          <w:sz w:val="24"/>
          <w:szCs w:val="24"/>
          <w:highlight w:val="none"/>
        </w:rPr>
        <w:t>经招标人同意，中标人可以依法采取分包方式履行合同，但必须在投标文件中事前载明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aps w:val="0"/>
          <w:color w:val="auto"/>
          <w:spacing w:val="0"/>
          <w:sz w:val="24"/>
          <w:szCs w:val="24"/>
          <w:highlight w:val="none"/>
          <w:shd w:val="clear" w:fill="FFFFFF"/>
        </w:rPr>
        <w:t>不得再次分包</w:t>
      </w:r>
      <w:r>
        <w:rPr>
          <w:rFonts w:hint="eastAsia" w:ascii="宋体" w:hAnsi="宋体" w:eastAsia="宋体" w:cs="宋体"/>
          <w:color w:val="auto"/>
          <w:sz w:val="24"/>
          <w:szCs w:val="24"/>
          <w:highlight w:val="none"/>
        </w:rPr>
        <w:t>。这种要求应当在合同签订之前征得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同意，并且分包供应商履行的分包项目的品牌、规格型号及技术要求等，必须与中标的一致。</w:t>
      </w:r>
    </w:p>
    <w:p w14:paraId="4809546F">
      <w:pPr>
        <w:pStyle w:val="9"/>
        <w:spacing w:after="0"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分包履行合同的部分应当为采购项目的非主体、非关键性工作，不属于中标人的主要合同义务。</w:t>
      </w:r>
    </w:p>
    <w:p w14:paraId="45264FE1">
      <w:pPr>
        <w:pStyle w:val="9"/>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30.2 </w:t>
      </w:r>
      <w:r>
        <w:rPr>
          <w:rFonts w:hint="eastAsia" w:ascii="宋体" w:hAnsi="宋体" w:eastAsia="宋体" w:cs="宋体"/>
          <w:color w:val="auto"/>
          <w:sz w:val="24"/>
          <w:szCs w:val="24"/>
          <w:highlight w:val="none"/>
        </w:rPr>
        <w:t>采购合同实行分包履行的，中标人就采购项目和分包项目向招标人负责，分包供应商就分包项目承担责任。</w:t>
      </w:r>
    </w:p>
    <w:p w14:paraId="5E79A64A">
      <w:pPr>
        <w:pStyle w:val="9"/>
        <w:spacing w:after="0" w:line="24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中小企业依据《政府采购促进中小企业发展管理办法》（财库</w:t>
      </w:r>
      <w:r>
        <w:rPr>
          <w:rFonts w:ascii="宋体" w:hAnsi="宋体" w:eastAsia="宋体" w:cs="宋体"/>
          <w:color w:val="auto"/>
          <w:sz w:val="24"/>
          <w:szCs w:val="24"/>
          <w:highlight w:val="none"/>
        </w:rPr>
        <w:t>[2020]46</w:t>
      </w:r>
      <w:r>
        <w:rPr>
          <w:rFonts w:hint="eastAsia" w:ascii="宋体" w:hAnsi="宋体" w:eastAsia="宋体" w:cs="宋体"/>
          <w:color w:val="auto"/>
          <w:sz w:val="24"/>
          <w:szCs w:val="24"/>
          <w:highlight w:val="none"/>
        </w:rPr>
        <w:t>号）规定的政策获取采购合同后，小微企业不得将合同分包给大中型企业，中型企业不得将合同分包给大型企业。</w:t>
      </w:r>
    </w:p>
    <w:p w14:paraId="30D85F58">
      <w:pPr>
        <w:spacing w:line="240" w:lineRule="auto"/>
        <w:outlineLvl w:val="9"/>
        <w:rPr>
          <w:rFonts w:ascii="宋体" w:hAnsi="宋体" w:eastAsia="宋体" w:cs="宋体"/>
          <w:b/>
          <w:bCs/>
          <w:color w:val="auto"/>
          <w:sz w:val="24"/>
          <w:szCs w:val="24"/>
          <w:highlight w:val="none"/>
        </w:rPr>
      </w:pPr>
      <w:bookmarkStart w:id="90" w:name="_Toc137"/>
      <w:bookmarkStart w:id="91" w:name="_Toc21369"/>
      <w:r>
        <w:rPr>
          <w:rFonts w:hint="eastAsia" w:ascii="宋体" w:hAnsi="宋体" w:eastAsia="宋体" w:cs="宋体"/>
          <w:b/>
          <w:bCs/>
          <w:color w:val="auto"/>
          <w:sz w:val="24"/>
          <w:szCs w:val="24"/>
          <w:highlight w:val="none"/>
        </w:rPr>
        <w:t>31.合同转包 (实质性要求)</w:t>
      </w:r>
      <w:bookmarkEnd w:id="90"/>
      <w:bookmarkEnd w:id="91"/>
    </w:p>
    <w:p w14:paraId="643E1E9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本采购项目严禁中标人将任何合同义务转包。本项目所称转包，是指中标人将合同义务转让给第三人，并退出现有采购合同当事人双方的权利义务关系，受让人(即第三人)成为采购合同的另一方当事人的行为。</w:t>
      </w:r>
    </w:p>
    <w:p w14:paraId="0E72696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中标人转包的，视同拒绝履行采购合同义务，将依法追究法律责任。</w:t>
      </w:r>
    </w:p>
    <w:p w14:paraId="6802D76B">
      <w:pPr>
        <w:spacing w:line="240" w:lineRule="auto"/>
        <w:outlineLvl w:val="9"/>
        <w:rPr>
          <w:rFonts w:ascii="宋体" w:hAnsi="宋体" w:eastAsia="宋体" w:cs="宋体"/>
          <w:b/>
          <w:bCs/>
          <w:color w:val="auto"/>
          <w:sz w:val="24"/>
          <w:szCs w:val="24"/>
          <w:highlight w:val="none"/>
        </w:rPr>
      </w:pPr>
      <w:bookmarkStart w:id="92" w:name="_Toc14740"/>
      <w:bookmarkStart w:id="93" w:name="_Toc4999"/>
      <w:r>
        <w:rPr>
          <w:rFonts w:hint="eastAsia" w:ascii="宋体" w:hAnsi="宋体" w:eastAsia="宋体" w:cs="宋体"/>
          <w:b/>
          <w:bCs/>
          <w:color w:val="auto"/>
          <w:sz w:val="24"/>
          <w:szCs w:val="24"/>
          <w:highlight w:val="none"/>
        </w:rPr>
        <w:t>32.补充合同</w:t>
      </w:r>
      <w:bookmarkEnd w:id="92"/>
      <w:bookmarkEnd w:id="93"/>
    </w:p>
    <w:p w14:paraId="2DCE11A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招标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EADEC9C">
      <w:pPr>
        <w:spacing w:line="240" w:lineRule="auto"/>
        <w:outlineLvl w:val="9"/>
        <w:rPr>
          <w:rFonts w:ascii="宋体" w:hAnsi="宋体" w:eastAsia="宋体" w:cs="宋体"/>
          <w:b/>
          <w:bCs/>
          <w:color w:val="auto"/>
          <w:sz w:val="24"/>
          <w:szCs w:val="24"/>
          <w:highlight w:val="none"/>
        </w:rPr>
      </w:pPr>
      <w:bookmarkStart w:id="94" w:name="_Toc9248"/>
      <w:bookmarkStart w:id="95" w:name="_Toc20785"/>
      <w:r>
        <w:rPr>
          <w:rFonts w:hint="eastAsia" w:ascii="宋体" w:hAnsi="宋体" w:eastAsia="宋体" w:cs="宋体"/>
          <w:b/>
          <w:bCs/>
          <w:color w:val="auto"/>
          <w:sz w:val="24"/>
          <w:szCs w:val="24"/>
          <w:highlight w:val="none"/>
        </w:rPr>
        <w:t>33.履约保证金 (实质性要求)</w:t>
      </w:r>
      <w:bookmarkEnd w:id="94"/>
      <w:bookmarkEnd w:id="95"/>
    </w:p>
    <w:p w14:paraId="3845AD52">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本项目收取履约保证金。</w:t>
      </w:r>
      <w:r>
        <w:rPr>
          <w:rFonts w:hint="eastAsia" w:ascii="宋体" w:hAnsi="宋体" w:eastAsia="宋体" w:cs="宋体"/>
          <w:b/>
          <w:bCs/>
          <w:color w:val="auto"/>
          <w:sz w:val="24"/>
          <w:szCs w:val="24"/>
          <w:highlight w:val="none"/>
        </w:rPr>
        <w:t xml:space="preserve">按照本文件第二章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 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须知附表 的规定执行。</w:t>
      </w:r>
    </w:p>
    <w:p w14:paraId="246BAFE6">
      <w:pPr>
        <w:spacing w:line="240" w:lineRule="auto"/>
        <w:outlineLvl w:val="9"/>
        <w:rPr>
          <w:rFonts w:ascii="宋体" w:hAnsi="宋体" w:eastAsia="宋体" w:cs="宋体"/>
          <w:b/>
          <w:bCs/>
          <w:color w:val="auto"/>
          <w:sz w:val="24"/>
          <w:szCs w:val="24"/>
          <w:highlight w:val="none"/>
        </w:rPr>
      </w:pPr>
      <w:bookmarkStart w:id="96" w:name="_Toc30156"/>
      <w:bookmarkStart w:id="97" w:name="_Toc1232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.履行合同</w:t>
      </w:r>
      <w:bookmarkEnd w:id="96"/>
      <w:bookmarkEnd w:id="97"/>
    </w:p>
    <w:p w14:paraId="04DD3CF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中标人与招标人签订合同后，合同双方应严格执行合同条款，履行合同规定的义务，保证合同的顺利完成。</w:t>
      </w:r>
    </w:p>
    <w:p w14:paraId="15AFED3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4575200C">
      <w:pPr>
        <w:spacing w:line="240" w:lineRule="auto"/>
        <w:outlineLvl w:val="9"/>
        <w:rPr>
          <w:rFonts w:ascii="宋体" w:hAnsi="宋体" w:eastAsia="宋体" w:cs="宋体"/>
          <w:b/>
          <w:bCs/>
          <w:color w:val="auto"/>
          <w:sz w:val="24"/>
          <w:szCs w:val="24"/>
          <w:highlight w:val="none"/>
        </w:rPr>
      </w:pPr>
      <w:bookmarkStart w:id="98" w:name="_Toc29799"/>
      <w:bookmarkStart w:id="99" w:name="_Toc4612"/>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.资金支付</w:t>
      </w:r>
      <w:bookmarkEnd w:id="98"/>
      <w:bookmarkEnd w:id="99"/>
    </w:p>
    <w:p w14:paraId="508972DB">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人将按照采购合同规定，及时向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支付采购资金。本项目采购资金采取授权支付，支付程序详见本文件“第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合同主要条款</w:t>
      </w:r>
      <w:r>
        <w:rPr>
          <w:rFonts w:hint="eastAsia" w:ascii="宋体" w:hAnsi="宋体" w:eastAsia="宋体" w:cs="宋体"/>
          <w:color w:val="auto"/>
          <w:sz w:val="24"/>
          <w:szCs w:val="24"/>
          <w:highlight w:val="none"/>
        </w:rPr>
        <w:t>”。</w:t>
      </w:r>
    </w:p>
    <w:p w14:paraId="0E72A5A0">
      <w:pPr>
        <w:spacing w:line="240" w:lineRule="auto"/>
        <w:ind w:firstLine="622" w:firstLineChars="200"/>
        <w:jc w:val="center"/>
        <w:outlineLvl w:val="1"/>
        <w:rPr>
          <w:rFonts w:ascii="宋体" w:hAnsi="宋体" w:eastAsia="宋体" w:cs="宋体"/>
          <w:b/>
          <w:bCs/>
          <w:color w:val="auto"/>
          <w:sz w:val="31"/>
          <w:szCs w:val="31"/>
          <w:highlight w:val="none"/>
        </w:rPr>
      </w:pPr>
      <w:bookmarkStart w:id="100" w:name="_Toc23630"/>
      <w:bookmarkStart w:id="101" w:name="_Toc18336"/>
      <w:r>
        <w:rPr>
          <w:rFonts w:hint="eastAsia" w:ascii="宋体" w:hAnsi="宋体" w:eastAsia="宋体" w:cs="宋体"/>
          <w:b/>
          <w:bCs/>
          <w:color w:val="auto"/>
          <w:sz w:val="31"/>
          <w:szCs w:val="31"/>
          <w:highlight w:val="none"/>
        </w:rPr>
        <w:t>七、投标纪律要求</w:t>
      </w:r>
      <w:bookmarkEnd w:id="100"/>
      <w:bookmarkEnd w:id="101"/>
    </w:p>
    <w:p w14:paraId="15BE5F9C">
      <w:pPr>
        <w:spacing w:line="240" w:lineRule="auto"/>
        <w:outlineLvl w:val="9"/>
        <w:rPr>
          <w:rFonts w:ascii="宋体" w:hAnsi="宋体" w:eastAsia="宋体" w:cs="宋体"/>
          <w:b/>
          <w:bCs/>
          <w:color w:val="auto"/>
          <w:sz w:val="24"/>
          <w:szCs w:val="24"/>
          <w:highlight w:val="none"/>
        </w:rPr>
      </w:pPr>
      <w:bookmarkStart w:id="102" w:name="_Toc4076"/>
      <w:bookmarkStart w:id="103" w:name="_Toc11058"/>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.投标人不得具有的情形</w:t>
      </w:r>
      <w:bookmarkEnd w:id="102"/>
      <w:bookmarkEnd w:id="103"/>
    </w:p>
    <w:p w14:paraId="3787A2E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投标人参加本项目投标不得有下列情形：</w:t>
      </w:r>
    </w:p>
    <w:p w14:paraId="53C9379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提供虚假材料谋取中标；</w:t>
      </w:r>
    </w:p>
    <w:p w14:paraId="11EA1A8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采取不正当手段诋毁、排挤其他投标人；</w:t>
      </w:r>
    </w:p>
    <w:p w14:paraId="3C05A7E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与招标采购单位、其他投标人恶意串通；</w:t>
      </w:r>
    </w:p>
    <w:p w14:paraId="2B3749E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向招标采购单位、评标委员会成员行贿或者提供其他不正当利益；</w:t>
      </w:r>
    </w:p>
    <w:p w14:paraId="71ED5E2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在招标过程中与招标采购单位进行协商谈判；</w:t>
      </w:r>
    </w:p>
    <w:p w14:paraId="033E8B1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中标或者成交后无正当理由拒不与招标人签订采购合同；</w:t>
      </w:r>
    </w:p>
    <w:p w14:paraId="288A34A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未按照采购文件确定的事项签订采购合同；</w:t>
      </w:r>
    </w:p>
    <w:p w14:paraId="76A45D1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将采购合同转包或者违规分包；</w:t>
      </w:r>
    </w:p>
    <w:p w14:paraId="16F5067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 提供假冒伪劣产品；</w:t>
      </w:r>
    </w:p>
    <w:p w14:paraId="04433D2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 擅自变更、中止或者终止采购合同；</w:t>
      </w:r>
    </w:p>
    <w:p w14:paraId="61F6351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拒绝有关部门的监督检查或者向监督检查部门提供虚假情况；</w:t>
      </w:r>
    </w:p>
    <w:p w14:paraId="10FCD0C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法律法规规定的其他情形。</w:t>
      </w:r>
    </w:p>
    <w:p w14:paraId="0443F60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投标人有上述情形的，按照规定追究法律责任，具备(1)-(10)条情形之一的，同时将取消中标资格或者认定中标、投标无效。</w:t>
      </w:r>
    </w:p>
    <w:p w14:paraId="3AE6865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投标人有下列情形之一的，视为投标人串通投标，其投标无效：</w:t>
      </w:r>
    </w:p>
    <w:p w14:paraId="75D3B6C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不同投标人的投标文件由同一单位或者个人编制；</w:t>
      </w:r>
    </w:p>
    <w:p w14:paraId="35723E0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不同投标人委托同一单位或者个人办理投标事宜；</w:t>
      </w:r>
    </w:p>
    <w:p w14:paraId="79628D6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不同投标人的投标文件载明的项目管理成员或者联系人员为同一人；</w:t>
      </w:r>
    </w:p>
    <w:p w14:paraId="2AA1AF5A">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不同投标人的投标文件异常一致或者投标报价呈规律性差异；</w:t>
      </w:r>
    </w:p>
    <w:p w14:paraId="46DB3A68">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(5) 不同投标人的投标文件相互混装；</w:t>
      </w:r>
    </w:p>
    <w:p w14:paraId="6B26571F">
      <w:pPr>
        <w:spacing w:line="240" w:lineRule="auto"/>
        <w:ind w:firstLine="622" w:firstLineChars="200"/>
        <w:jc w:val="center"/>
        <w:outlineLvl w:val="1"/>
        <w:rPr>
          <w:rFonts w:ascii="宋体" w:hAnsi="宋体" w:eastAsia="宋体" w:cs="宋体"/>
          <w:b/>
          <w:bCs/>
          <w:color w:val="auto"/>
          <w:sz w:val="31"/>
          <w:szCs w:val="31"/>
          <w:highlight w:val="none"/>
        </w:rPr>
      </w:pPr>
      <w:bookmarkStart w:id="104" w:name="_Toc11580"/>
      <w:bookmarkStart w:id="105" w:name="_Toc2277"/>
      <w:r>
        <w:rPr>
          <w:rFonts w:hint="eastAsia" w:ascii="宋体" w:hAnsi="宋体" w:eastAsia="宋体" w:cs="宋体"/>
          <w:b/>
          <w:bCs/>
          <w:color w:val="auto"/>
          <w:sz w:val="31"/>
          <w:szCs w:val="31"/>
          <w:highlight w:val="none"/>
        </w:rPr>
        <w:t>八、询问、质疑和投诉</w:t>
      </w:r>
      <w:bookmarkEnd w:id="104"/>
      <w:bookmarkEnd w:id="105"/>
    </w:p>
    <w:p w14:paraId="03F3B281">
      <w:pPr>
        <w:spacing w:before="3" w:line="240" w:lineRule="auto"/>
        <w:ind w:left="23" w:right="13" w:firstLine="482"/>
        <w:rPr>
          <w:rFonts w:ascii="宋体" w:hAnsi="宋体" w:eastAsia="宋体" w:cs="宋体"/>
          <w:color w:val="auto"/>
          <w:sz w:val="23"/>
          <w:szCs w:val="23"/>
          <w:highlight w:val="none"/>
        </w:rPr>
      </w:pPr>
      <w:r>
        <w:rPr>
          <w:rFonts w:hint="eastAsia" w:hAnsi="宋体"/>
          <w:color w:val="auto"/>
          <w:sz w:val="24"/>
          <w:highlight w:val="none"/>
        </w:rPr>
        <w:t>详见《供应商须知前附表》。</w:t>
      </w:r>
    </w:p>
    <w:p w14:paraId="5E5C7FE2">
      <w:pPr>
        <w:spacing w:line="240" w:lineRule="auto"/>
        <w:ind w:firstLine="622" w:firstLineChars="200"/>
        <w:jc w:val="center"/>
        <w:outlineLvl w:val="1"/>
        <w:rPr>
          <w:rFonts w:ascii="宋体" w:hAnsi="宋体" w:eastAsia="宋体" w:cs="宋体"/>
          <w:b/>
          <w:bCs/>
          <w:color w:val="auto"/>
          <w:sz w:val="31"/>
          <w:szCs w:val="31"/>
          <w:highlight w:val="none"/>
        </w:rPr>
      </w:pPr>
      <w:bookmarkStart w:id="106" w:name="_Toc13074"/>
      <w:bookmarkStart w:id="107" w:name="_Toc30615"/>
      <w:r>
        <w:rPr>
          <w:rFonts w:hint="eastAsia" w:ascii="宋体" w:hAnsi="宋体" w:eastAsia="宋体" w:cs="宋体"/>
          <w:b/>
          <w:bCs/>
          <w:color w:val="auto"/>
          <w:sz w:val="31"/>
          <w:szCs w:val="31"/>
          <w:highlight w:val="none"/>
        </w:rPr>
        <w:t>九、其他</w:t>
      </w:r>
      <w:bookmarkEnd w:id="106"/>
      <w:bookmarkEnd w:id="107"/>
    </w:p>
    <w:p w14:paraId="532D4C95">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.本招标文件中所</w:t>
      </w:r>
      <w:r>
        <w:rPr>
          <w:rFonts w:hint="eastAsia" w:ascii="宋体" w:hAnsi="宋体" w:eastAsia="宋体" w:cs="宋体"/>
          <w:color w:val="auto"/>
          <w:sz w:val="24"/>
          <w:szCs w:val="24"/>
          <w:highlight w:val="none"/>
          <w:lang w:eastAsia="zh-CN"/>
        </w:rPr>
        <w:t>引用</w:t>
      </w:r>
      <w:r>
        <w:rPr>
          <w:rFonts w:hint="eastAsia" w:ascii="宋体" w:hAnsi="宋体" w:eastAsia="宋体" w:cs="宋体"/>
          <w:color w:val="auto"/>
          <w:sz w:val="24"/>
          <w:szCs w:val="24"/>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24"/>
          <w:highlight w:val="none"/>
          <w:lang w:eastAsia="zh-CN"/>
        </w:rPr>
        <w:t>作调整</w:t>
      </w:r>
      <w:r>
        <w:rPr>
          <w:rFonts w:hint="eastAsia" w:ascii="宋体" w:hAnsi="宋体" w:eastAsia="宋体" w:cs="宋体"/>
          <w:color w:val="auto"/>
          <w:sz w:val="24"/>
          <w:szCs w:val="24"/>
          <w:highlight w:val="none"/>
        </w:rPr>
        <w:t>。</w:t>
      </w:r>
    </w:p>
    <w:p w14:paraId="5EC87342">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42.本招标文件中加注(实质性要求)的条款，若未明确要求提供证明材料或承诺函，视为仅约束中标人，由中标人和招标人签订合同前进行核实。</w:t>
      </w:r>
    </w:p>
    <w:p w14:paraId="1E589D9F">
      <w:pPr>
        <w:spacing w:line="240" w:lineRule="auto"/>
        <w:rPr>
          <w:color w:val="auto"/>
          <w:highlight w:val="none"/>
        </w:rPr>
        <w:sectPr>
          <w:headerReference r:id="rId5" w:type="default"/>
          <w:footerReference r:id="rId6" w:type="default"/>
          <w:pgSz w:w="11905" w:h="16838"/>
          <w:pgMar w:top="1417" w:right="1417" w:bottom="1417" w:left="1417" w:header="0" w:footer="1134" w:gutter="0"/>
          <w:pgNumType w:fmt="decimal"/>
          <w:cols w:space="425" w:num="1"/>
        </w:sectPr>
      </w:pPr>
    </w:p>
    <w:p w14:paraId="2750F4FB">
      <w:pPr>
        <w:spacing w:before="114" w:line="240" w:lineRule="auto"/>
        <w:jc w:val="center"/>
        <w:outlineLvl w:val="0"/>
        <w:rPr>
          <w:rFonts w:ascii="宋体" w:hAnsi="宋体" w:eastAsia="宋体" w:cs="宋体"/>
          <w:color w:val="auto"/>
          <w:sz w:val="36"/>
          <w:szCs w:val="36"/>
          <w:highlight w:val="none"/>
          <w14:textOutline w14:w="6540" w14:cap="sq" w14:cmpd="sng" w14:algn="ctr">
            <w14:solidFill>
              <w14:srgbClr w14:val="000000"/>
            </w14:solidFill>
            <w14:prstDash w14:val="solid"/>
            <w14:bevel/>
          </w14:textOutline>
        </w:rPr>
      </w:pPr>
      <w:bookmarkStart w:id="108" w:name="_Toc17804"/>
      <w:r>
        <w:rPr>
          <w:rFonts w:hint="eastAsia" w:ascii="宋体" w:hAnsi="宋体" w:eastAsia="宋体" w:cs="宋体"/>
          <w:color w:val="auto"/>
          <w:sz w:val="36"/>
          <w:szCs w:val="36"/>
          <w:highlight w:val="none"/>
          <w14:textOutline w14:w="6540" w14:cap="sq" w14:cmpd="sng" w14:algn="ctr">
            <w14:solidFill>
              <w14:srgbClr w14:val="000000"/>
            </w14:solidFill>
            <w14:prstDash w14:val="solid"/>
            <w14:bevel/>
          </w14:textOutline>
        </w:rPr>
        <w:t>第三章 投标文件格式</w:t>
      </w:r>
      <w:bookmarkEnd w:id="108"/>
    </w:p>
    <w:p w14:paraId="4FD277C1">
      <w:pPr>
        <w:spacing w:line="240" w:lineRule="auto"/>
        <w:rPr>
          <w:color w:val="auto"/>
          <w:highlight w:val="none"/>
        </w:rPr>
      </w:pPr>
    </w:p>
    <w:p w14:paraId="6A3F485A">
      <w:pPr>
        <w:spacing w:line="240" w:lineRule="auto"/>
        <w:rPr>
          <w:color w:val="auto"/>
          <w:highlight w:val="none"/>
        </w:rPr>
      </w:pPr>
    </w:p>
    <w:p w14:paraId="452C4AB8">
      <w:pPr>
        <w:spacing w:line="240" w:lineRule="auto"/>
        <w:rPr>
          <w:color w:val="auto"/>
          <w:highlight w:val="none"/>
        </w:rPr>
      </w:pPr>
    </w:p>
    <w:p w14:paraId="5BB98E4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一、本章所制投标文件格式，除格式中明确将该格式作为实质性要求的，一律不具有强制性。</w:t>
      </w:r>
    </w:p>
    <w:p w14:paraId="10862C2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二、本章所制投标文件格式有关表格中的备注栏，由投标人根据自身投标情况作解释性说明，不作为必填项。</w:t>
      </w:r>
    </w:p>
    <w:p w14:paraId="70AE3CF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三、本章所制投标文件格式中需要填写的相关内容事项，可能会与本采购项目无关，在不改变投标文件原义、不影响本项目采购需求的情况下，投标人可以不予填写。</w:t>
      </w:r>
    </w:p>
    <w:p w14:paraId="20DEC2E6">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四、本章格式中“注”的内容，投标人可以自行决定是否保留在投标文件中。未保留视为投标人默认接受“注”的内容。</w:t>
      </w:r>
    </w:p>
    <w:p w14:paraId="60031CC6">
      <w:pPr>
        <w:spacing w:line="240" w:lineRule="auto"/>
        <w:rPr>
          <w:color w:val="auto"/>
          <w:highlight w:val="none"/>
        </w:rPr>
        <w:sectPr>
          <w:footerReference r:id="rId7" w:type="default"/>
          <w:pgSz w:w="11905" w:h="16838"/>
          <w:pgMar w:top="1417" w:right="1417" w:bottom="1417" w:left="1417" w:header="0" w:footer="1134" w:gutter="0"/>
          <w:pgNumType w:fmt="decimal"/>
          <w:cols w:space="425" w:num="1"/>
        </w:sectPr>
      </w:pPr>
    </w:p>
    <w:p w14:paraId="59CB6BC7">
      <w:pPr>
        <w:spacing w:line="240" w:lineRule="auto"/>
        <w:rPr>
          <w:color w:val="auto"/>
          <w:sz w:val="2"/>
          <w:highlight w:val="none"/>
        </w:rPr>
      </w:pPr>
      <w:r>
        <w:rPr>
          <w:color w:val="auto"/>
          <w:sz w:val="2"/>
          <w:szCs w:val="2"/>
          <w:highlight w:val="none"/>
        </w:rPr>
        <w:br w:type="column"/>
      </w:r>
    </w:p>
    <w:p w14:paraId="3AC4595F">
      <w:pPr>
        <w:spacing w:line="240" w:lineRule="auto"/>
        <w:rPr>
          <w:color w:val="auto"/>
          <w:highlight w:val="none"/>
        </w:rPr>
      </w:pPr>
    </w:p>
    <w:p w14:paraId="746FD831">
      <w:pPr>
        <w:spacing w:before="3" w:line="240" w:lineRule="auto"/>
        <w:ind w:left="23" w:right="13" w:firstLine="482"/>
        <w:jc w:val="center"/>
        <w:outlineLvl w:val="9"/>
        <w:rPr>
          <w:rFonts w:ascii="宋体" w:hAnsi="宋体" w:eastAsia="宋体" w:cs="宋体"/>
          <w:b/>
          <w:bCs/>
          <w:color w:val="auto"/>
          <w:sz w:val="32"/>
          <w:szCs w:val="32"/>
          <w:highlight w:val="none"/>
        </w:rPr>
      </w:pPr>
      <w:bookmarkStart w:id="109" w:name="_Toc32221"/>
      <w:r>
        <w:rPr>
          <w:rFonts w:hint="eastAsia" w:ascii="宋体" w:hAnsi="宋体" w:eastAsia="宋体" w:cs="宋体"/>
          <w:b/>
          <w:bCs/>
          <w:color w:val="auto"/>
          <w:sz w:val="32"/>
          <w:szCs w:val="32"/>
          <w:highlight w:val="none"/>
        </w:rPr>
        <w:t>资格性投标文件封面</w:t>
      </w:r>
      <w:bookmarkEnd w:id="109"/>
    </w:p>
    <w:p w14:paraId="0341F615">
      <w:pPr>
        <w:pStyle w:val="9"/>
        <w:spacing w:line="240" w:lineRule="auto"/>
        <w:rPr>
          <w:rFonts w:ascii="宋体" w:hAnsi="宋体" w:eastAsia="宋体" w:cs="宋体"/>
          <w:b/>
          <w:bCs/>
          <w:color w:val="auto"/>
          <w:sz w:val="32"/>
          <w:szCs w:val="32"/>
          <w:highlight w:val="none"/>
        </w:rPr>
      </w:pPr>
    </w:p>
    <w:p w14:paraId="3DB329BD">
      <w:pPr>
        <w:spacing w:line="240" w:lineRule="auto"/>
        <w:rPr>
          <w:color w:val="auto"/>
          <w:highlight w:val="none"/>
        </w:rPr>
      </w:pPr>
    </w:p>
    <w:p w14:paraId="4AFD6E9F">
      <w:pPr>
        <w:spacing w:line="240" w:lineRule="auto"/>
        <w:rPr>
          <w:color w:val="auto"/>
          <w:highlight w:val="none"/>
        </w:rPr>
      </w:pPr>
    </w:p>
    <w:tbl>
      <w:tblPr>
        <w:tblStyle w:val="23"/>
        <w:tblW w:w="2001" w:type="dxa"/>
        <w:tblInd w:w="63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001"/>
      </w:tblGrid>
      <w:tr w14:paraId="416889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474" w:hRule="atLeast"/>
        </w:trPr>
        <w:tc>
          <w:tcPr>
            <w:tcW w:w="2001" w:type="dxa"/>
          </w:tcPr>
          <w:p w14:paraId="3F9D72C4">
            <w:pPr>
              <w:spacing w:before="58" w:line="240" w:lineRule="auto"/>
              <w:ind w:left="567"/>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43D60CF1">
      <w:pPr>
        <w:spacing w:before="3" w:line="240" w:lineRule="auto"/>
        <w:ind w:left="23" w:right="13" w:firstLine="482"/>
        <w:jc w:val="center"/>
        <w:rPr>
          <w:rFonts w:ascii="宋体" w:hAnsi="宋体" w:eastAsia="宋体" w:cs="宋体"/>
          <w:b/>
          <w:bCs/>
          <w:color w:val="auto"/>
          <w:sz w:val="44"/>
          <w:szCs w:val="44"/>
          <w:highlight w:val="none"/>
        </w:rPr>
      </w:pPr>
    </w:p>
    <w:p w14:paraId="7C678AB8">
      <w:pPr>
        <w:pStyle w:val="9"/>
        <w:spacing w:line="240" w:lineRule="auto"/>
        <w:rPr>
          <w:color w:val="auto"/>
          <w:highlight w:val="none"/>
        </w:rPr>
      </w:pPr>
    </w:p>
    <w:p w14:paraId="1639F5BF">
      <w:pPr>
        <w:spacing w:before="3" w:line="240" w:lineRule="auto"/>
        <w:ind w:left="23" w:right="13" w:firstLine="482"/>
        <w:jc w:val="center"/>
        <w:outlineLvl w:val="1"/>
        <w:rPr>
          <w:rFonts w:ascii="宋体" w:hAnsi="宋体" w:eastAsia="宋体" w:cs="宋体"/>
          <w:b/>
          <w:bCs/>
          <w:color w:val="auto"/>
          <w:sz w:val="44"/>
          <w:szCs w:val="44"/>
          <w:highlight w:val="none"/>
        </w:rPr>
      </w:pPr>
      <w:bookmarkStart w:id="110" w:name="_Toc26429"/>
      <w:bookmarkStart w:id="111" w:name="_Toc5586"/>
      <w:r>
        <w:rPr>
          <w:rFonts w:hint="eastAsia" w:ascii="宋体" w:hAnsi="宋体" w:eastAsia="宋体" w:cs="宋体"/>
          <w:b/>
          <w:bCs/>
          <w:color w:val="auto"/>
          <w:sz w:val="44"/>
          <w:szCs w:val="44"/>
          <w:highlight w:val="none"/>
        </w:rPr>
        <w:t>第一部分：资格性投标文件</w:t>
      </w:r>
      <w:bookmarkEnd w:id="110"/>
      <w:bookmarkEnd w:id="111"/>
    </w:p>
    <w:p w14:paraId="381A2ABE">
      <w:pPr>
        <w:spacing w:line="240" w:lineRule="auto"/>
        <w:rPr>
          <w:color w:val="auto"/>
          <w:highlight w:val="none"/>
        </w:rPr>
      </w:pPr>
    </w:p>
    <w:p w14:paraId="14F7BCF0">
      <w:pPr>
        <w:spacing w:line="240" w:lineRule="auto"/>
        <w:rPr>
          <w:color w:val="auto"/>
          <w:highlight w:val="none"/>
        </w:rPr>
      </w:pPr>
    </w:p>
    <w:p w14:paraId="4DD9F94B">
      <w:pPr>
        <w:pStyle w:val="9"/>
        <w:spacing w:line="240" w:lineRule="auto"/>
        <w:rPr>
          <w:rFonts w:ascii="Arial"/>
          <w:color w:val="auto"/>
          <w:sz w:val="21"/>
          <w:highlight w:val="none"/>
        </w:rPr>
      </w:pPr>
    </w:p>
    <w:p w14:paraId="5A8134D3">
      <w:pPr>
        <w:spacing w:line="240" w:lineRule="auto"/>
        <w:rPr>
          <w:color w:val="auto"/>
          <w:highlight w:val="none"/>
        </w:rPr>
      </w:pPr>
    </w:p>
    <w:p w14:paraId="08AF00C3">
      <w:pPr>
        <w:spacing w:line="240" w:lineRule="auto"/>
        <w:rPr>
          <w:color w:val="auto"/>
          <w:highlight w:val="none"/>
        </w:rPr>
      </w:pPr>
    </w:p>
    <w:p w14:paraId="33A3E98C">
      <w:pPr>
        <w:spacing w:line="240" w:lineRule="auto"/>
        <w:rPr>
          <w:color w:val="auto"/>
          <w:highlight w:val="none"/>
        </w:rPr>
      </w:pPr>
    </w:p>
    <w:p w14:paraId="40598D4D">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7AFA0639">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591A801E">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5B5857E6">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2321EDB7">
      <w:pPr>
        <w:spacing w:before="3" w:line="240" w:lineRule="auto"/>
        <w:ind w:left="23" w:right="13" w:firstLine="482"/>
        <w:jc w:val="center"/>
        <w:rPr>
          <w:rFonts w:ascii="宋体" w:hAnsi="宋体" w:eastAsia="宋体" w:cs="宋体"/>
          <w:b/>
          <w:bCs/>
          <w:color w:val="auto"/>
          <w:spacing w:val="18"/>
          <w:sz w:val="32"/>
          <w:szCs w:val="32"/>
          <w:highlight w:val="none"/>
        </w:rPr>
      </w:pPr>
    </w:p>
    <w:p w14:paraId="24EECABD">
      <w:pPr>
        <w:spacing w:before="3" w:line="240" w:lineRule="auto"/>
        <w:ind w:left="23" w:right="13" w:firstLine="482"/>
        <w:jc w:val="center"/>
        <w:rPr>
          <w:rFonts w:ascii="宋体" w:hAnsi="宋体" w:eastAsia="宋体" w:cs="宋体"/>
          <w:b/>
          <w:bCs/>
          <w:color w:val="auto"/>
          <w:spacing w:val="18"/>
          <w:sz w:val="32"/>
          <w:szCs w:val="32"/>
          <w:highlight w:val="none"/>
        </w:rPr>
      </w:pPr>
    </w:p>
    <w:p w14:paraId="5CC847E5">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20E050C2">
      <w:pPr>
        <w:spacing w:line="240" w:lineRule="auto"/>
        <w:rPr>
          <w:color w:val="auto"/>
          <w:highlight w:val="none"/>
        </w:rPr>
        <w:sectPr>
          <w:headerReference r:id="rId8" w:type="default"/>
          <w:footerReference r:id="rId9" w:type="default"/>
          <w:type w:val="continuous"/>
          <w:pgSz w:w="11905" w:h="16838"/>
          <w:pgMar w:top="1417" w:right="1417" w:bottom="1417" w:left="1417" w:header="0" w:footer="1134" w:gutter="0"/>
          <w:pgNumType w:fmt="decimal"/>
          <w:cols w:space="425" w:num="1"/>
        </w:sectPr>
      </w:pPr>
    </w:p>
    <w:p w14:paraId="505E724B">
      <w:pPr>
        <w:spacing w:before="3" w:line="240" w:lineRule="auto"/>
        <w:ind w:right="13"/>
        <w:jc w:val="center"/>
        <w:outlineLvl w:val="9"/>
        <w:rPr>
          <w:rFonts w:ascii="宋体" w:hAnsi="宋体" w:eastAsia="宋体" w:cs="宋体"/>
          <w:b/>
          <w:bCs/>
          <w:color w:val="auto"/>
          <w:sz w:val="32"/>
          <w:szCs w:val="32"/>
          <w:highlight w:val="none"/>
        </w:rPr>
      </w:pPr>
      <w:bookmarkStart w:id="112" w:name="_Toc538"/>
      <w:bookmarkStart w:id="113" w:name="_Toc6855"/>
      <w:r>
        <w:rPr>
          <w:rFonts w:hint="eastAsia" w:ascii="宋体" w:hAnsi="宋体" w:eastAsia="宋体" w:cs="宋体"/>
          <w:b/>
          <w:bCs/>
          <w:color w:val="auto"/>
          <w:sz w:val="32"/>
          <w:szCs w:val="32"/>
          <w:highlight w:val="none"/>
        </w:rPr>
        <w:t>一、相关证明文件格式</w:t>
      </w:r>
      <w:bookmarkEnd w:id="112"/>
      <w:bookmarkEnd w:id="113"/>
    </w:p>
    <w:p w14:paraId="2EFC0DC5">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p w14:paraId="65B1BDAA">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法定代表人/单位负责人证明书</w:t>
      </w:r>
    </w:p>
    <w:p w14:paraId="3D87E5DF">
      <w:pPr>
        <w:spacing w:line="240" w:lineRule="auto"/>
        <w:rPr>
          <w:color w:val="auto"/>
          <w:highlight w:val="none"/>
        </w:rPr>
      </w:pPr>
    </w:p>
    <w:p w14:paraId="663A6D61">
      <w:pPr>
        <w:spacing w:before="75" w:line="240" w:lineRule="auto"/>
        <w:ind w:left="9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B4EDBB2">
      <w:pPr>
        <w:spacing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3CD9F2C">
      <w:pPr>
        <w:spacing w:before="305"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3F7FEE0">
      <w:pPr>
        <w:tabs>
          <w:tab w:val="left" w:pos="569"/>
        </w:tabs>
        <w:spacing w:before="315" w:line="240" w:lineRule="auto"/>
        <w:ind w:left="442" w:firstLine="5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投标人名称) 的法定代表人/单位负责人。就参加贵公司组织的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(采购项目编号)投标活动，签署上述项目的投标文件及合同的执行、完成、服务和保修，签署合同和处理与之有关的一切事务。</w:t>
      </w:r>
    </w:p>
    <w:p w14:paraId="1AA7B0D4">
      <w:pPr>
        <w:spacing w:before="75" w:line="240" w:lineRule="auto"/>
        <w:ind w:left="98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特此证明。</w:t>
      </w:r>
    </w:p>
    <w:p w14:paraId="072049EB">
      <w:pPr>
        <w:spacing w:line="240" w:lineRule="auto"/>
        <w:rPr>
          <w:color w:val="auto"/>
          <w:highlight w:val="none"/>
        </w:rPr>
      </w:pPr>
    </w:p>
    <w:p w14:paraId="69C1AFB3">
      <w:pPr>
        <w:spacing w:line="240" w:lineRule="auto"/>
        <w:rPr>
          <w:color w:val="auto"/>
          <w:highlight w:val="none"/>
        </w:rPr>
      </w:pPr>
    </w:p>
    <w:p w14:paraId="6D39F0B8">
      <w:pPr>
        <w:spacing w:line="240" w:lineRule="auto"/>
        <w:rPr>
          <w:color w:val="auto"/>
          <w:highlight w:val="none"/>
        </w:rPr>
      </w:pPr>
    </w:p>
    <w:p w14:paraId="6A094E03">
      <w:pPr>
        <w:spacing w:before="75" w:line="240" w:lineRule="auto"/>
        <w:ind w:left="98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(※此处请附法定代表人/单位负责人身份证明材料正反两面复印件※)</w:t>
      </w:r>
    </w:p>
    <w:p w14:paraId="0BAD1B7E">
      <w:pPr>
        <w:spacing w:line="240" w:lineRule="auto"/>
        <w:rPr>
          <w:color w:val="auto"/>
          <w:sz w:val="24"/>
          <w:szCs w:val="24"/>
          <w:highlight w:val="none"/>
        </w:rPr>
      </w:pPr>
    </w:p>
    <w:p w14:paraId="68466F0C">
      <w:pPr>
        <w:spacing w:line="240" w:lineRule="auto"/>
        <w:rPr>
          <w:color w:val="auto"/>
          <w:sz w:val="24"/>
          <w:szCs w:val="24"/>
          <w:highlight w:val="none"/>
        </w:rPr>
      </w:pPr>
    </w:p>
    <w:p w14:paraId="4F51034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B7A993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法定代表人/单位负责人(签字或加盖个人名章)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FC72B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8780F2">
      <w:pPr>
        <w:spacing w:line="240" w:lineRule="auto"/>
        <w:rPr>
          <w:color w:val="auto"/>
          <w:sz w:val="24"/>
          <w:szCs w:val="24"/>
          <w:highlight w:val="none"/>
        </w:rPr>
      </w:pPr>
    </w:p>
    <w:p w14:paraId="3275320C">
      <w:pPr>
        <w:spacing w:line="240" w:lineRule="auto"/>
        <w:rPr>
          <w:color w:val="auto"/>
          <w:sz w:val="24"/>
          <w:szCs w:val="24"/>
          <w:highlight w:val="none"/>
        </w:rPr>
      </w:pPr>
    </w:p>
    <w:p w14:paraId="1064E473">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注意：1、法定代表人/单位负责人参加本项目投标的，仅须出具此证明书。</w:t>
      </w:r>
    </w:p>
    <w:p w14:paraId="2B922219">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2、身份证明材料包括居民身份证或居民户口簿或军官证或护照等。</w:t>
      </w:r>
    </w:p>
    <w:p w14:paraId="2C32B530">
      <w:pPr>
        <w:spacing w:before="75" w:line="240" w:lineRule="auto"/>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3、身份证明材料应同时提供其在有效期的材料，如居民身份证正、反面复印件</w:t>
      </w:r>
      <w:r>
        <w:rPr>
          <w:rFonts w:ascii="宋体" w:hAnsi="宋体" w:eastAsia="宋体" w:cs="宋体"/>
          <w:color w:val="auto"/>
          <w:position w:val="1"/>
          <w:sz w:val="24"/>
          <w:szCs w:val="24"/>
          <w:highlight w:val="none"/>
          <w14:textOutline w14:w="4356" w14:cap="sq" w14:cmpd="sng" w14:algn="ctr">
            <w14:solidFill>
              <w14:srgbClr w14:val="000000"/>
            </w14:solidFill>
            <w14:prstDash w14:val="solid"/>
            <w14:bevel/>
          </w14:textOutline>
        </w:rPr>
        <w:t>。</w:t>
      </w:r>
    </w:p>
    <w:p w14:paraId="0B5CD0D8">
      <w:pPr>
        <w:spacing w:line="240" w:lineRule="auto"/>
        <w:rPr>
          <w:color w:val="auto"/>
          <w:highlight w:val="none"/>
        </w:rPr>
        <w:sectPr>
          <w:headerReference r:id="rId10" w:type="default"/>
          <w:footerReference r:id="rId11" w:type="default"/>
          <w:pgSz w:w="11905" w:h="16838"/>
          <w:pgMar w:top="1417" w:right="1417" w:bottom="1417" w:left="1417" w:header="0" w:footer="1134" w:gutter="0"/>
          <w:pgNumType w:fmt="decimal"/>
          <w:cols w:space="425" w:num="1"/>
        </w:sectPr>
      </w:pPr>
    </w:p>
    <w:p w14:paraId="39A6E596">
      <w:pPr>
        <w:spacing w:before="3" w:line="240" w:lineRule="auto"/>
        <w:ind w:right="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p w14:paraId="219D6E9A">
      <w:pPr>
        <w:spacing w:before="75" w:line="240" w:lineRule="auto"/>
        <w:ind w:left="2611"/>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法定代表人/单位负责人授权书</w:t>
      </w:r>
    </w:p>
    <w:p w14:paraId="5DE03D16">
      <w:pPr>
        <w:spacing w:line="240" w:lineRule="auto"/>
        <w:rPr>
          <w:color w:val="auto"/>
          <w:highlight w:val="none"/>
        </w:rPr>
      </w:pPr>
    </w:p>
    <w:p w14:paraId="1232F9CA">
      <w:pPr>
        <w:spacing w:line="240" w:lineRule="auto"/>
        <w:rPr>
          <w:color w:val="auto"/>
          <w:highlight w:val="none"/>
        </w:rPr>
      </w:pPr>
    </w:p>
    <w:p w14:paraId="2FB6551F">
      <w:pPr>
        <w:tabs>
          <w:tab w:val="left" w:pos="1588"/>
        </w:tabs>
        <w:spacing w:before="74"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48BFF155">
      <w:pPr>
        <w:spacing w:before="77" w:line="240" w:lineRule="auto"/>
        <w:ind w:left="23"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(法定代表人/单位负责人姓名、职务)授权</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)投标活动的合法代表，以我方名义全权处理该项目有关投标、签订合同以及执行合同等一切事宜。</w:t>
      </w:r>
    </w:p>
    <w:p w14:paraId="58892A4B">
      <w:pPr>
        <w:spacing w:line="240" w:lineRule="auto"/>
        <w:ind w:left="493"/>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特此声明。</w:t>
      </w:r>
    </w:p>
    <w:p w14:paraId="6C5185AD">
      <w:pPr>
        <w:spacing w:line="240" w:lineRule="auto"/>
        <w:rPr>
          <w:color w:val="auto"/>
          <w:highlight w:val="none"/>
        </w:rPr>
      </w:pPr>
    </w:p>
    <w:p w14:paraId="492A4613">
      <w:pPr>
        <w:spacing w:line="240" w:lineRule="auto"/>
        <w:rPr>
          <w:color w:val="auto"/>
          <w:highlight w:val="none"/>
        </w:rPr>
      </w:pPr>
    </w:p>
    <w:p w14:paraId="683BDF9A">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r>
        <w:rPr>
          <w:rFonts w:ascii="宋体" w:hAnsi="宋体" w:eastAsia="宋体" w:cs="宋体"/>
          <w:color w:val="auto"/>
          <w:sz w:val="24"/>
          <w:szCs w:val="24"/>
          <w:highlight w:val="none"/>
        </w:rPr>
        <w:t xml:space="preserve">          </w:t>
      </w:r>
    </w:p>
    <w:p w14:paraId="4F7C9BD0">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法定代表人/单位负责人(签字或者加盖个人名章)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14:paraId="24F3C859">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授权代表(签字或加盖个人名章) ：</w:t>
      </w:r>
      <w:r>
        <w:rPr>
          <w:rFonts w:ascii="宋体" w:hAnsi="宋体" w:eastAsia="宋体" w:cs="宋体"/>
          <w:color w:val="auto"/>
          <w:sz w:val="24"/>
          <w:szCs w:val="24"/>
          <w:highlight w:val="none"/>
          <w:u w:val="single"/>
        </w:rPr>
        <w:t xml:space="preserve">                  </w:t>
      </w:r>
    </w:p>
    <w:p w14:paraId="16118160">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75F641">
      <w:pPr>
        <w:spacing w:line="240" w:lineRule="auto"/>
        <w:rPr>
          <w:color w:val="auto"/>
          <w:highlight w:val="none"/>
        </w:rPr>
      </w:pPr>
    </w:p>
    <w:p w14:paraId="38F439C3">
      <w:pPr>
        <w:spacing w:line="240" w:lineRule="auto"/>
        <w:rPr>
          <w:color w:val="auto"/>
          <w:highlight w:val="none"/>
        </w:rPr>
      </w:pPr>
    </w:p>
    <w:p w14:paraId="61E5B117">
      <w:pPr>
        <w:spacing w:line="240" w:lineRule="auto"/>
        <w:rPr>
          <w:color w:val="auto"/>
          <w:highlight w:val="none"/>
        </w:rPr>
      </w:pPr>
    </w:p>
    <w:p w14:paraId="7948DFF4">
      <w:pPr>
        <w:spacing w:line="240" w:lineRule="auto"/>
        <w:rPr>
          <w:color w:val="auto"/>
          <w:highlight w:val="none"/>
        </w:rPr>
      </w:pPr>
    </w:p>
    <w:p w14:paraId="16B9EB56">
      <w:pPr>
        <w:spacing w:line="240" w:lineRule="auto"/>
        <w:rPr>
          <w:color w:val="auto"/>
          <w:highlight w:val="none"/>
        </w:rPr>
      </w:pPr>
    </w:p>
    <w:p w14:paraId="296AB8EF">
      <w:pPr>
        <w:spacing w:line="240" w:lineRule="auto"/>
        <w:rPr>
          <w:color w:val="auto"/>
          <w:highlight w:val="none"/>
        </w:rPr>
      </w:pPr>
    </w:p>
    <w:p w14:paraId="48C0FB74">
      <w:pPr>
        <w:spacing w:line="240" w:lineRule="auto"/>
        <w:rPr>
          <w:color w:val="auto"/>
          <w:highlight w:val="none"/>
        </w:rPr>
      </w:pPr>
    </w:p>
    <w:p w14:paraId="0A612A9E">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注：1、供应商为法人单位时提供“法定代表人授权书”，供应商为其他组织时提供“单位负责人授权书”，供应商为自然人时提供“自然人身份证明材料”。</w:t>
      </w:r>
    </w:p>
    <w:p w14:paraId="37EC3A04">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2、应附法定代表人/单位负责人身份证明材料复印件和授权代表身份证明材 料复印件(包括正反两面) 。</w:t>
      </w:r>
    </w:p>
    <w:p w14:paraId="3A6F0BAA">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3、身份证明材料包括居民身份证或居民户口簿或军官证或护照等。</w:t>
      </w:r>
    </w:p>
    <w:p w14:paraId="5622D1DE">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4、身份证明材料应同时提供其在有效期的材料，如居民身份证正、反面复印件。</w:t>
      </w:r>
    </w:p>
    <w:p w14:paraId="685FAEAB">
      <w:pPr>
        <w:spacing w:before="3" w:line="240" w:lineRule="auto"/>
        <w:ind w:right="13"/>
        <w:jc w:val="center"/>
        <w:rPr>
          <w:color w:val="auto"/>
          <w:highlight w:val="none"/>
        </w:rPr>
        <w:sectPr>
          <w:headerReference r:id="rId12" w:type="default"/>
          <w:footerReference r:id="rId13" w:type="default"/>
          <w:pgSz w:w="11905" w:h="16838"/>
          <w:pgMar w:top="1417" w:right="1417" w:bottom="1417" w:left="1417" w:header="0" w:footer="1134" w:gutter="0"/>
          <w:pgNumType w:fmt="decimal"/>
          <w:cols w:space="425" w:num="1"/>
        </w:sectPr>
      </w:pPr>
    </w:p>
    <w:p w14:paraId="004623E0">
      <w:pPr>
        <w:spacing w:before="3" w:line="240" w:lineRule="auto"/>
        <w:ind w:right="13"/>
        <w:jc w:val="center"/>
        <w:outlineLvl w:val="9"/>
        <w:rPr>
          <w:rFonts w:ascii="宋体" w:hAnsi="宋体" w:eastAsia="宋体" w:cs="宋体"/>
          <w:b/>
          <w:bCs/>
          <w:color w:val="auto"/>
          <w:sz w:val="32"/>
          <w:szCs w:val="32"/>
          <w:highlight w:val="none"/>
        </w:rPr>
      </w:pPr>
      <w:bookmarkStart w:id="114" w:name="_Toc8667"/>
      <w:bookmarkStart w:id="115" w:name="_Toc17596"/>
      <w:r>
        <w:rPr>
          <w:rFonts w:hint="eastAsia" w:ascii="宋体" w:hAnsi="宋体" w:eastAsia="宋体" w:cs="宋体"/>
          <w:b/>
          <w:bCs/>
          <w:color w:val="auto"/>
          <w:sz w:val="32"/>
          <w:szCs w:val="32"/>
          <w:highlight w:val="none"/>
        </w:rPr>
        <w:t>二、资格性承诺函 (实质性要求)</w:t>
      </w:r>
      <w:bookmarkEnd w:id="114"/>
      <w:bookmarkEnd w:id="115"/>
    </w:p>
    <w:p w14:paraId="2D0E731E">
      <w:pPr>
        <w:tabs>
          <w:tab w:val="left" w:pos="1948"/>
        </w:tabs>
        <w:spacing w:line="240" w:lineRule="auto"/>
        <w:rPr>
          <w:rFonts w:ascii="宋体" w:hAnsi="宋体" w:eastAsia="宋体" w:cs="宋体"/>
          <w:color w:val="auto"/>
          <w:sz w:val="23"/>
          <w:szCs w:val="23"/>
          <w:highlight w:val="none"/>
          <w:u w:val="single"/>
        </w:rPr>
      </w:pPr>
    </w:p>
    <w:p w14:paraId="6D0F82AA">
      <w:pPr>
        <w:tabs>
          <w:tab w:val="left" w:pos="1948"/>
        </w:tabs>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DDE8EFC">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我单位作为本次采购项目的投标人，根据招标文件要求，现郑重承诺如下：具备《中华人民共和国政府采购法》第二十二条第一款和本项目规定的条件：</w:t>
      </w:r>
    </w:p>
    <w:p w14:paraId="530C0412">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一) 具有独立承担民事责任的能力；</w:t>
      </w:r>
    </w:p>
    <w:p w14:paraId="10930BE3">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 具有良好的商业信誉和健全的财务会计制度；</w:t>
      </w:r>
    </w:p>
    <w:p w14:paraId="5E30C1CE">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 具有履行合同所必需的设备和专业技术能力；</w:t>
      </w:r>
    </w:p>
    <w:p w14:paraId="5AE05E0A">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 有依法缴纳税收和社会保障资金的良好记录；</w:t>
      </w:r>
    </w:p>
    <w:p w14:paraId="053F4447">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参加采购活动前三年内，在经营活动中没有重大违法记录；(公司成立不足三年</w:t>
      </w:r>
      <w:r>
        <w:rPr>
          <w:rFonts w:hint="eastAsia" w:ascii="宋体" w:hAnsi="宋体" w:eastAsia="宋体" w:cs="宋体"/>
          <w:color w:val="auto"/>
          <w:sz w:val="24"/>
          <w:szCs w:val="24"/>
          <w:highlight w:val="none"/>
          <w:lang w:eastAsia="zh-CN"/>
        </w:rPr>
        <w:t>的从</w:t>
      </w:r>
      <w:r>
        <w:rPr>
          <w:rFonts w:hint="eastAsia" w:ascii="宋体" w:hAnsi="宋体" w:eastAsia="宋体" w:cs="宋体"/>
          <w:color w:val="auto"/>
          <w:sz w:val="24"/>
          <w:szCs w:val="24"/>
          <w:highlight w:val="none"/>
        </w:rPr>
        <w:t>成立之日起算)</w:t>
      </w:r>
    </w:p>
    <w:p w14:paraId="1339F06F">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 法律、行政法规规定的其他条件；</w:t>
      </w:r>
    </w:p>
    <w:p w14:paraId="0EB29FB4">
      <w:pPr>
        <w:spacing w:line="240" w:lineRule="auto"/>
        <w:ind w:firstLine="47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 根据国务院办公厅关于加快推进“多证合一”改革的指导意见(国办发〔2017〕41号)等政策要求，若资格要求涉及的登记、备案等有关事项和各类证照已实行多证合一导致我方无法提供该类证明材料的，我方承诺满足招标文件资格要求。(此条针对资格要求如涉及的登记、备案等有关事项和各类证照已实行多证合一导致投标人无法提供该类证明材料的，投标人提供该承诺)</w:t>
      </w:r>
      <w:r>
        <w:rPr>
          <w:rFonts w:hint="eastAsia" w:ascii="宋体" w:hAnsi="宋体" w:eastAsia="宋体" w:cs="宋体"/>
          <w:color w:val="auto"/>
          <w:sz w:val="24"/>
          <w:szCs w:val="24"/>
          <w:highlight w:val="none"/>
          <w:lang w:eastAsia="zh-CN"/>
        </w:rPr>
        <w:t>。</w:t>
      </w:r>
    </w:p>
    <w:p w14:paraId="4BBBE690">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本单位对上述承诺的内容事项真实性负责。如经查实上述承诺的内容事项存在虚假，我单位愿意接受以提供虚假材料谋取中标追究法律责任。</w:t>
      </w:r>
    </w:p>
    <w:p w14:paraId="37ACE4DA">
      <w:pPr>
        <w:spacing w:before="1" w:line="240" w:lineRule="auto"/>
        <w:ind w:left="496"/>
        <w:rPr>
          <w:rFonts w:ascii="宋体" w:hAnsi="宋体" w:eastAsia="宋体" w:cs="宋体"/>
          <w:color w:val="auto"/>
          <w:sz w:val="24"/>
          <w:szCs w:val="24"/>
          <w:highlight w:val="none"/>
        </w:rPr>
      </w:pPr>
    </w:p>
    <w:p w14:paraId="447025C3">
      <w:pPr>
        <w:spacing w:before="1" w:line="240" w:lineRule="auto"/>
        <w:ind w:left="496"/>
        <w:rPr>
          <w:rFonts w:ascii="宋体" w:hAnsi="宋体" w:eastAsia="宋体" w:cs="宋体"/>
          <w:color w:val="auto"/>
          <w:sz w:val="24"/>
          <w:szCs w:val="24"/>
          <w:highlight w:val="none"/>
        </w:rPr>
      </w:pPr>
    </w:p>
    <w:p w14:paraId="429B4605">
      <w:pPr>
        <w:spacing w:before="1" w:line="240" w:lineRule="auto"/>
        <w:ind w:left="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0CD3D46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7DAD36C0">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6BB11B">
      <w:pPr>
        <w:spacing w:line="240" w:lineRule="auto"/>
        <w:rPr>
          <w:color w:val="auto"/>
          <w:highlight w:val="none"/>
        </w:rPr>
        <w:sectPr>
          <w:headerReference r:id="rId14" w:type="default"/>
          <w:footerReference r:id="rId15" w:type="default"/>
          <w:pgSz w:w="11905" w:h="16838"/>
          <w:pgMar w:top="1417" w:right="1417" w:bottom="1417" w:left="1417" w:header="0" w:footer="1134" w:gutter="0"/>
          <w:pgNumType w:fmt="decimal"/>
          <w:cols w:space="425" w:num="1"/>
        </w:sectPr>
      </w:pPr>
    </w:p>
    <w:p w14:paraId="61C303C5">
      <w:pPr>
        <w:spacing w:before="41" w:line="240" w:lineRule="auto"/>
        <w:ind w:firstLine="0"/>
        <w:textAlignment w:val="center"/>
        <w:rPr>
          <w:color w:val="auto"/>
          <w:highlight w:val="none"/>
        </w:rPr>
      </w:pPr>
    </w:p>
    <w:p w14:paraId="5543C59E">
      <w:pPr>
        <w:numPr>
          <w:ilvl w:val="255"/>
          <w:numId w:val="0"/>
        </w:numPr>
        <w:spacing w:before="0" w:line="240" w:lineRule="auto"/>
        <w:ind w:right="0"/>
        <w:outlineLvl w:val="9"/>
        <w:rPr>
          <w:rFonts w:ascii="宋体" w:hAnsi="宋体" w:eastAsia="宋体" w:cs="宋体"/>
          <w:b/>
          <w:bCs/>
          <w:color w:val="auto"/>
          <w:sz w:val="32"/>
          <w:szCs w:val="32"/>
          <w:highlight w:val="none"/>
        </w:rPr>
      </w:pPr>
      <w:bookmarkStart w:id="116" w:name="_Toc1481"/>
      <w:bookmarkStart w:id="117" w:name="_Toc13627"/>
      <w:r>
        <w:rPr>
          <w:rFonts w:hint="eastAsia" w:ascii="宋体" w:hAnsi="宋体" w:eastAsia="宋体" w:cs="宋体"/>
          <w:b/>
          <w:bCs/>
          <w:color w:val="auto"/>
          <w:sz w:val="32"/>
          <w:szCs w:val="32"/>
          <w:highlight w:val="none"/>
        </w:rPr>
        <w:t>三、具有独立承担民事责任能力的证明材料</w:t>
      </w:r>
      <w:bookmarkEnd w:id="116"/>
      <w:bookmarkEnd w:id="117"/>
      <w:r>
        <w:rPr>
          <w:rFonts w:hint="eastAsia" w:ascii="宋体" w:hAnsi="宋体" w:eastAsia="宋体" w:cs="宋体"/>
          <w:b/>
          <w:bCs/>
          <w:color w:val="auto"/>
          <w:sz w:val="32"/>
          <w:szCs w:val="32"/>
          <w:highlight w:val="none"/>
        </w:rPr>
        <w:t xml:space="preserve"> </w:t>
      </w:r>
    </w:p>
    <w:p w14:paraId="25C1EADC">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4CBC043C">
      <w:pPr>
        <w:spacing w:before="3" w:line="240" w:lineRule="auto"/>
        <w:ind w:right="13"/>
        <w:jc w:val="center"/>
        <w:rPr>
          <w:rFonts w:ascii="宋体" w:hAnsi="宋体" w:eastAsia="宋体" w:cs="宋体"/>
          <w:b/>
          <w:bCs/>
          <w:color w:val="auto"/>
          <w:sz w:val="32"/>
          <w:szCs w:val="32"/>
          <w:highlight w:val="none"/>
        </w:rPr>
      </w:pPr>
    </w:p>
    <w:p w14:paraId="554EADCA">
      <w:pPr>
        <w:spacing w:before="3" w:line="240" w:lineRule="auto"/>
        <w:ind w:right="13"/>
        <w:jc w:val="both"/>
        <w:outlineLvl w:val="9"/>
        <w:rPr>
          <w:rFonts w:ascii="宋体" w:hAnsi="宋体" w:eastAsia="宋体" w:cs="宋体"/>
          <w:b/>
          <w:bCs/>
          <w:color w:val="auto"/>
          <w:sz w:val="32"/>
          <w:szCs w:val="32"/>
          <w:highlight w:val="none"/>
        </w:rPr>
      </w:pPr>
      <w:bookmarkStart w:id="118" w:name="_Toc21705"/>
      <w:bookmarkStart w:id="119" w:name="_Toc11241"/>
      <w:r>
        <w:rPr>
          <w:rFonts w:hint="eastAsia" w:ascii="宋体" w:hAnsi="宋体" w:eastAsia="宋体" w:cs="宋体"/>
          <w:b/>
          <w:bCs/>
          <w:color w:val="auto"/>
          <w:sz w:val="32"/>
          <w:szCs w:val="32"/>
          <w:highlight w:val="none"/>
        </w:rPr>
        <w:t>四、具有商业信誉和健全的财务会计制度的证明材料</w:t>
      </w:r>
      <w:bookmarkEnd w:id="118"/>
      <w:bookmarkEnd w:id="119"/>
      <w:r>
        <w:rPr>
          <w:rFonts w:hint="eastAsia" w:ascii="宋体" w:hAnsi="宋体" w:eastAsia="宋体" w:cs="宋体"/>
          <w:b/>
          <w:bCs/>
          <w:color w:val="auto"/>
          <w:sz w:val="32"/>
          <w:szCs w:val="32"/>
          <w:highlight w:val="none"/>
        </w:rPr>
        <w:t xml:space="preserve"> </w:t>
      </w:r>
    </w:p>
    <w:p w14:paraId="4FFADCEA">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7D066FA2">
      <w:pPr>
        <w:spacing w:line="240" w:lineRule="auto"/>
        <w:rPr>
          <w:color w:val="auto"/>
          <w:highlight w:val="none"/>
        </w:rPr>
      </w:pPr>
    </w:p>
    <w:p w14:paraId="04822BBC">
      <w:pPr>
        <w:spacing w:before="3" w:line="240" w:lineRule="auto"/>
        <w:ind w:right="13"/>
        <w:jc w:val="center"/>
        <w:outlineLvl w:val="9"/>
        <w:rPr>
          <w:rFonts w:ascii="宋体" w:hAnsi="宋体" w:eastAsia="宋体" w:cs="宋体"/>
          <w:b/>
          <w:bCs/>
          <w:color w:val="auto"/>
          <w:sz w:val="32"/>
          <w:szCs w:val="32"/>
          <w:highlight w:val="none"/>
        </w:rPr>
      </w:pPr>
      <w:bookmarkStart w:id="120" w:name="_Toc272"/>
      <w:bookmarkStart w:id="121" w:name="_Toc21468"/>
      <w:r>
        <w:rPr>
          <w:rFonts w:hint="eastAsia" w:ascii="宋体" w:hAnsi="宋体" w:eastAsia="宋体" w:cs="宋体"/>
          <w:b/>
          <w:bCs/>
          <w:color w:val="auto"/>
          <w:sz w:val="32"/>
          <w:szCs w:val="32"/>
          <w:highlight w:val="none"/>
        </w:rPr>
        <w:t xml:space="preserve">五、提供具有履行合同所必需的设备和专业技术能力的证明材料 </w:t>
      </w:r>
      <w:r>
        <w:rPr>
          <w:rFonts w:hint="eastAsia" w:ascii="宋体" w:hAnsi="宋体" w:eastAsia="宋体" w:cs="宋体"/>
          <w:color w:val="auto"/>
          <w:sz w:val="24"/>
          <w:szCs w:val="24"/>
          <w:highlight w:val="none"/>
        </w:rPr>
        <w:t>(根据招标文件第五章要求提供)</w:t>
      </w:r>
      <w:bookmarkEnd w:id="120"/>
      <w:bookmarkEnd w:id="121"/>
    </w:p>
    <w:p w14:paraId="02C3A5E9">
      <w:pPr>
        <w:spacing w:line="240" w:lineRule="auto"/>
        <w:rPr>
          <w:color w:val="auto"/>
          <w:highlight w:val="none"/>
        </w:rPr>
      </w:pPr>
    </w:p>
    <w:p w14:paraId="7CF993A8">
      <w:pPr>
        <w:spacing w:before="3" w:line="240" w:lineRule="auto"/>
        <w:ind w:right="13"/>
        <w:jc w:val="both"/>
        <w:outlineLvl w:val="9"/>
        <w:rPr>
          <w:rFonts w:ascii="宋体" w:hAnsi="宋体" w:eastAsia="宋体" w:cs="宋体"/>
          <w:b/>
          <w:bCs/>
          <w:color w:val="auto"/>
          <w:sz w:val="32"/>
          <w:szCs w:val="32"/>
          <w:highlight w:val="none"/>
        </w:rPr>
      </w:pPr>
      <w:bookmarkStart w:id="122" w:name="_Toc3675"/>
      <w:bookmarkStart w:id="123" w:name="_Toc13755"/>
      <w:r>
        <w:rPr>
          <w:rFonts w:hint="eastAsia" w:ascii="宋体" w:hAnsi="宋体" w:eastAsia="宋体" w:cs="宋体"/>
          <w:b/>
          <w:bCs/>
          <w:color w:val="auto"/>
          <w:sz w:val="32"/>
          <w:szCs w:val="32"/>
          <w:highlight w:val="none"/>
        </w:rPr>
        <w:t>六、有依法缴纳税收和社会保障资金的良好记录的证明材料</w:t>
      </w:r>
      <w:bookmarkEnd w:id="122"/>
      <w:bookmarkEnd w:id="123"/>
    </w:p>
    <w:p w14:paraId="764C2225">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46E857B">
      <w:pPr>
        <w:pStyle w:val="9"/>
        <w:spacing w:line="240" w:lineRule="auto"/>
        <w:rPr>
          <w:color w:val="auto"/>
          <w:highlight w:val="none"/>
        </w:rPr>
      </w:pPr>
    </w:p>
    <w:p w14:paraId="202238C4">
      <w:pPr>
        <w:spacing w:before="3" w:line="240" w:lineRule="auto"/>
        <w:ind w:right="13"/>
        <w:jc w:val="both"/>
        <w:outlineLvl w:val="9"/>
        <w:rPr>
          <w:rFonts w:ascii="宋体" w:hAnsi="宋体" w:eastAsia="宋体" w:cs="宋体"/>
          <w:b/>
          <w:bCs/>
          <w:color w:val="auto"/>
          <w:sz w:val="32"/>
          <w:szCs w:val="32"/>
          <w:highlight w:val="none"/>
        </w:rPr>
      </w:pPr>
      <w:bookmarkStart w:id="124" w:name="_Toc18660"/>
      <w:bookmarkStart w:id="125" w:name="_Toc22346"/>
      <w:r>
        <w:rPr>
          <w:rFonts w:hint="eastAsia" w:ascii="宋体" w:hAnsi="宋体" w:eastAsia="宋体" w:cs="宋体"/>
          <w:b/>
          <w:bCs/>
          <w:color w:val="auto"/>
          <w:sz w:val="32"/>
          <w:szCs w:val="32"/>
          <w:highlight w:val="none"/>
        </w:rPr>
        <w:t>七、参加本次采购活动前三年内，在经营活动中没有重大违法记录的证明材料</w:t>
      </w:r>
      <w:bookmarkEnd w:id="124"/>
      <w:bookmarkEnd w:id="125"/>
      <w:r>
        <w:rPr>
          <w:rFonts w:hint="eastAsia" w:ascii="宋体" w:hAnsi="宋体" w:eastAsia="宋体" w:cs="宋体"/>
          <w:b/>
          <w:bCs/>
          <w:color w:val="auto"/>
          <w:sz w:val="32"/>
          <w:szCs w:val="32"/>
          <w:highlight w:val="none"/>
        </w:rPr>
        <w:t xml:space="preserve"> </w:t>
      </w:r>
    </w:p>
    <w:p w14:paraId="4FB201C8">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1A1551DB">
      <w:pPr>
        <w:pStyle w:val="9"/>
        <w:spacing w:line="240" w:lineRule="auto"/>
        <w:rPr>
          <w:color w:val="auto"/>
          <w:highlight w:val="none"/>
        </w:rPr>
      </w:pPr>
    </w:p>
    <w:p w14:paraId="7AC175E1">
      <w:pPr>
        <w:spacing w:before="3" w:line="240" w:lineRule="auto"/>
        <w:ind w:right="13"/>
        <w:jc w:val="both"/>
        <w:outlineLvl w:val="9"/>
        <w:rPr>
          <w:rFonts w:ascii="宋体" w:hAnsi="宋体" w:eastAsia="宋体" w:cs="宋体"/>
          <w:b/>
          <w:bCs/>
          <w:color w:val="auto"/>
          <w:sz w:val="32"/>
          <w:szCs w:val="32"/>
          <w:highlight w:val="none"/>
        </w:rPr>
      </w:pPr>
      <w:bookmarkStart w:id="126" w:name="_Toc21320"/>
      <w:bookmarkStart w:id="127" w:name="_Toc29820"/>
      <w:r>
        <w:rPr>
          <w:rFonts w:hint="eastAsia" w:ascii="宋体" w:hAnsi="宋体" w:eastAsia="宋体" w:cs="宋体"/>
          <w:b/>
          <w:bCs/>
          <w:color w:val="auto"/>
          <w:sz w:val="32"/>
          <w:szCs w:val="32"/>
          <w:highlight w:val="none"/>
        </w:rPr>
        <w:t>八、具备法律、行政法规规定的其他条件的承诺函</w:t>
      </w:r>
      <w:bookmarkEnd w:id="126"/>
      <w:bookmarkEnd w:id="127"/>
      <w:r>
        <w:rPr>
          <w:rFonts w:hint="eastAsia" w:ascii="宋体" w:hAnsi="宋体" w:eastAsia="宋体" w:cs="宋体"/>
          <w:b/>
          <w:bCs/>
          <w:color w:val="auto"/>
          <w:sz w:val="32"/>
          <w:szCs w:val="32"/>
          <w:highlight w:val="none"/>
        </w:rPr>
        <w:t xml:space="preserve"> </w:t>
      </w:r>
    </w:p>
    <w:p w14:paraId="76DDF4D4">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EE0B8A6">
      <w:pPr>
        <w:spacing w:line="240" w:lineRule="auto"/>
        <w:rPr>
          <w:color w:val="auto"/>
          <w:highlight w:val="none"/>
        </w:rPr>
      </w:pPr>
    </w:p>
    <w:p w14:paraId="53E39518">
      <w:pPr>
        <w:spacing w:before="3" w:line="240" w:lineRule="auto"/>
        <w:ind w:right="13"/>
        <w:jc w:val="both"/>
        <w:outlineLvl w:val="9"/>
        <w:rPr>
          <w:color w:val="auto"/>
          <w:highlight w:val="none"/>
        </w:rPr>
      </w:pPr>
      <w:bookmarkStart w:id="128" w:name="_Toc5524"/>
      <w:bookmarkStart w:id="129" w:name="_Toc24048"/>
      <w:r>
        <w:rPr>
          <w:rFonts w:hint="eastAsia" w:ascii="宋体" w:hAnsi="宋体" w:eastAsia="宋体" w:cs="宋体"/>
          <w:b/>
          <w:bCs/>
          <w:color w:val="auto"/>
          <w:sz w:val="32"/>
          <w:szCs w:val="32"/>
          <w:highlight w:val="none"/>
        </w:rPr>
        <w:t>九、第五章规定的其他相关证明材料 (格式自拟) ……</w:t>
      </w:r>
      <w:bookmarkEnd w:id="128"/>
      <w:bookmarkEnd w:id="129"/>
      <w:r>
        <w:rPr>
          <w:color w:val="auto"/>
          <w:highlight w:val="none"/>
        </w:rPr>
        <w:br w:type="page"/>
      </w:r>
    </w:p>
    <w:p w14:paraId="6B6708B5">
      <w:pPr>
        <w:spacing w:before="59" w:line="240" w:lineRule="auto"/>
        <w:ind w:left="2601"/>
        <w:outlineLvl w:val="9"/>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其他</w:t>
      </w:r>
      <w:bookmarkStart w:id="130" w:name="_Toc26162"/>
      <w:bookmarkStart w:id="131" w:name="_Toc8237"/>
      <w:r>
        <w:rPr>
          <w:rFonts w:hint="eastAsia" w:ascii="宋体" w:hAnsi="宋体" w:eastAsia="宋体" w:cs="宋体"/>
          <w:b/>
          <w:bCs/>
          <w:color w:val="auto"/>
          <w:sz w:val="32"/>
          <w:szCs w:val="32"/>
          <w:highlight w:val="none"/>
        </w:rPr>
        <w:t>响应性投标文件封面</w:t>
      </w:r>
      <w:bookmarkEnd w:id="130"/>
      <w:bookmarkEnd w:id="131"/>
    </w:p>
    <w:p w14:paraId="59B50F79">
      <w:pPr>
        <w:spacing w:line="240" w:lineRule="auto"/>
        <w:rPr>
          <w:color w:val="auto"/>
          <w:highlight w:val="none"/>
        </w:rPr>
      </w:pPr>
    </w:p>
    <w:p w14:paraId="5392F187">
      <w:pPr>
        <w:spacing w:line="240" w:lineRule="auto"/>
        <w:rPr>
          <w:color w:val="auto"/>
          <w:highlight w:val="none"/>
        </w:rPr>
      </w:pPr>
    </w:p>
    <w:p w14:paraId="0B75057D">
      <w:pPr>
        <w:spacing w:line="240" w:lineRule="auto"/>
        <w:rPr>
          <w:color w:val="auto"/>
          <w:highlight w:val="none"/>
        </w:rPr>
      </w:pPr>
    </w:p>
    <w:p w14:paraId="09FA5A52">
      <w:pPr>
        <w:spacing w:line="240" w:lineRule="auto"/>
        <w:rPr>
          <w:color w:val="auto"/>
          <w:highlight w:val="none"/>
        </w:rPr>
      </w:pPr>
    </w:p>
    <w:p w14:paraId="1A41E31F">
      <w:pPr>
        <w:spacing w:line="240" w:lineRule="auto"/>
        <w:rPr>
          <w:color w:val="auto"/>
          <w:highlight w:val="none"/>
        </w:rPr>
      </w:pPr>
    </w:p>
    <w:p w14:paraId="394C5C6E">
      <w:pPr>
        <w:spacing w:line="240" w:lineRule="auto"/>
        <w:rPr>
          <w:color w:val="auto"/>
          <w:highlight w:val="none"/>
        </w:rPr>
      </w:pPr>
    </w:p>
    <w:tbl>
      <w:tblPr>
        <w:tblStyle w:val="23"/>
        <w:tblW w:w="1640" w:type="dxa"/>
        <w:tblInd w:w="65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14:paraId="27133D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6" w:hRule="atLeast"/>
        </w:trPr>
        <w:tc>
          <w:tcPr>
            <w:tcW w:w="1640" w:type="dxa"/>
          </w:tcPr>
          <w:p w14:paraId="245F04BE">
            <w:pPr>
              <w:spacing w:before="58" w:line="240" w:lineRule="auto"/>
              <w:ind w:left="206"/>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19F9297D">
      <w:pPr>
        <w:spacing w:line="240" w:lineRule="auto"/>
        <w:rPr>
          <w:color w:val="auto"/>
          <w:highlight w:val="none"/>
        </w:rPr>
      </w:pPr>
    </w:p>
    <w:p w14:paraId="0BA86F21">
      <w:pPr>
        <w:spacing w:before="3" w:line="240" w:lineRule="auto"/>
        <w:ind w:right="13"/>
        <w:jc w:val="center"/>
        <w:rPr>
          <w:rFonts w:ascii="宋体" w:hAnsi="宋体" w:eastAsia="宋体" w:cs="宋体"/>
          <w:b/>
          <w:bCs/>
          <w:color w:val="auto"/>
          <w:sz w:val="44"/>
          <w:szCs w:val="44"/>
          <w:highlight w:val="none"/>
        </w:rPr>
      </w:pPr>
    </w:p>
    <w:p w14:paraId="4C340CC3">
      <w:pPr>
        <w:spacing w:before="3" w:line="240" w:lineRule="auto"/>
        <w:ind w:right="13"/>
        <w:jc w:val="center"/>
        <w:outlineLvl w:val="1"/>
        <w:rPr>
          <w:rFonts w:ascii="宋体" w:hAnsi="宋体" w:eastAsia="宋体" w:cs="宋体"/>
          <w:b/>
          <w:bCs/>
          <w:color w:val="auto"/>
          <w:sz w:val="44"/>
          <w:szCs w:val="44"/>
          <w:highlight w:val="none"/>
        </w:rPr>
      </w:pPr>
      <w:bookmarkStart w:id="132" w:name="_Toc21452"/>
      <w:bookmarkStart w:id="133" w:name="_Toc4716"/>
      <w:r>
        <w:rPr>
          <w:rFonts w:hint="eastAsia" w:ascii="宋体" w:hAnsi="宋体" w:eastAsia="宋体" w:cs="宋体"/>
          <w:b/>
          <w:bCs/>
          <w:color w:val="auto"/>
          <w:sz w:val="44"/>
          <w:szCs w:val="44"/>
          <w:highlight w:val="none"/>
        </w:rPr>
        <w:t>第二部分：其他响应性投标文件</w:t>
      </w:r>
      <w:bookmarkEnd w:id="132"/>
      <w:bookmarkEnd w:id="133"/>
    </w:p>
    <w:p w14:paraId="687DA5B1">
      <w:pPr>
        <w:spacing w:line="240" w:lineRule="auto"/>
        <w:rPr>
          <w:color w:val="auto"/>
          <w:highlight w:val="none"/>
        </w:rPr>
      </w:pPr>
    </w:p>
    <w:p w14:paraId="13C815C9">
      <w:pPr>
        <w:spacing w:line="240" w:lineRule="auto"/>
        <w:rPr>
          <w:color w:val="auto"/>
          <w:highlight w:val="none"/>
        </w:rPr>
      </w:pPr>
    </w:p>
    <w:p w14:paraId="4E229EE8">
      <w:pPr>
        <w:spacing w:line="240" w:lineRule="auto"/>
        <w:rPr>
          <w:color w:val="auto"/>
          <w:highlight w:val="none"/>
        </w:rPr>
      </w:pPr>
    </w:p>
    <w:p w14:paraId="43BF0289">
      <w:pPr>
        <w:pStyle w:val="9"/>
        <w:spacing w:line="240" w:lineRule="auto"/>
        <w:rPr>
          <w:color w:val="auto"/>
          <w:highlight w:val="none"/>
        </w:rPr>
      </w:pPr>
    </w:p>
    <w:p w14:paraId="136F3548">
      <w:pPr>
        <w:spacing w:line="240" w:lineRule="auto"/>
        <w:rPr>
          <w:color w:val="auto"/>
          <w:highlight w:val="none"/>
        </w:rPr>
      </w:pPr>
    </w:p>
    <w:p w14:paraId="36CD8E1D">
      <w:pPr>
        <w:spacing w:line="240" w:lineRule="auto"/>
        <w:rPr>
          <w:color w:val="auto"/>
          <w:highlight w:val="none"/>
        </w:rPr>
      </w:pPr>
    </w:p>
    <w:p w14:paraId="4145E542">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0BA92A91">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文件编号：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57146168">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644DCBBB">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2CFAC5B2">
      <w:pPr>
        <w:spacing w:before="3" w:line="240" w:lineRule="auto"/>
        <w:ind w:left="23" w:right="13" w:firstLine="482"/>
        <w:jc w:val="center"/>
        <w:rPr>
          <w:rFonts w:ascii="宋体" w:hAnsi="宋体" w:eastAsia="宋体" w:cs="宋体"/>
          <w:b/>
          <w:bCs/>
          <w:color w:val="auto"/>
          <w:spacing w:val="18"/>
          <w:sz w:val="32"/>
          <w:szCs w:val="32"/>
          <w:highlight w:val="none"/>
        </w:rPr>
      </w:pPr>
    </w:p>
    <w:p w14:paraId="2263C15B">
      <w:pPr>
        <w:spacing w:before="3" w:line="240" w:lineRule="auto"/>
        <w:ind w:left="23" w:right="13" w:firstLine="482"/>
        <w:jc w:val="center"/>
        <w:rPr>
          <w:rFonts w:ascii="宋体" w:hAnsi="宋体" w:eastAsia="宋体" w:cs="宋体"/>
          <w:b/>
          <w:bCs/>
          <w:color w:val="auto"/>
          <w:spacing w:val="18"/>
          <w:sz w:val="32"/>
          <w:szCs w:val="32"/>
          <w:highlight w:val="none"/>
        </w:rPr>
      </w:pPr>
    </w:p>
    <w:p w14:paraId="5C9C674F">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3C81EAAD">
      <w:pPr>
        <w:spacing w:line="240" w:lineRule="auto"/>
        <w:rPr>
          <w:color w:val="auto"/>
          <w:highlight w:val="none"/>
        </w:rPr>
      </w:pPr>
    </w:p>
    <w:p w14:paraId="3B120608">
      <w:pPr>
        <w:pStyle w:val="9"/>
        <w:spacing w:line="240" w:lineRule="auto"/>
        <w:rPr>
          <w:color w:val="auto"/>
          <w:highlight w:val="none"/>
        </w:rPr>
      </w:pPr>
    </w:p>
    <w:p w14:paraId="4824E076">
      <w:pPr>
        <w:spacing w:line="240" w:lineRule="auto"/>
        <w:rPr>
          <w:color w:val="auto"/>
          <w:highlight w:val="none"/>
        </w:rPr>
      </w:pPr>
    </w:p>
    <w:p w14:paraId="72369331">
      <w:pPr>
        <w:pStyle w:val="9"/>
        <w:spacing w:line="240" w:lineRule="auto"/>
        <w:rPr>
          <w:color w:val="auto"/>
          <w:highlight w:val="none"/>
        </w:rPr>
      </w:pPr>
    </w:p>
    <w:p w14:paraId="0E81B8ED">
      <w:pPr>
        <w:spacing w:line="240" w:lineRule="auto"/>
        <w:rPr>
          <w:color w:val="auto"/>
          <w:highlight w:val="none"/>
        </w:rPr>
      </w:pPr>
    </w:p>
    <w:p w14:paraId="5759A7FA">
      <w:pPr>
        <w:pStyle w:val="9"/>
        <w:spacing w:line="240" w:lineRule="auto"/>
        <w:rPr>
          <w:color w:val="auto"/>
          <w:highlight w:val="none"/>
        </w:rPr>
      </w:pPr>
    </w:p>
    <w:p w14:paraId="7B619680">
      <w:pPr>
        <w:spacing w:line="240" w:lineRule="auto"/>
        <w:rPr>
          <w:color w:val="auto"/>
          <w:highlight w:val="none"/>
        </w:rPr>
      </w:pPr>
    </w:p>
    <w:p w14:paraId="14F63890">
      <w:pPr>
        <w:pStyle w:val="9"/>
        <w:spacing w:line="240" w:lineRule="auto"/>
        <w:rPr>
          <w:color w:val="auto"/>
          <w:highlight w:val="none"/>
        </w:rPr>
      </w:pPr>
    </w:p>
    <w:p w14:paraId="72383680">
      <w:pPr>
        <w:pStyle w:val="9"/>
        <w:spacing w:line="240" w:lineRule="auto"/>
        <w:rPr>
          <w:color w:val="auto"/>
          <w:highlight w:val="none"/>
        </w:rPr>
      </w:pPr>
    </w:p>
    <w:p w14:paraId="241426D0">
      <w:pPr>
        <w:spacing w:line="240" w:lineRule="auto"/>
        <w:rPr>
          <w:color w:val="auto"/>
          <w:highlight w:val="none"/>
        </w:rPr>
        <w:sectPr>
          <w:headerReference r:id="rId16" w:type="default"/>
          <w:footerReference r:id="rId17" w:type="default"/>
          <w:pgSz w:w="11905" w:h="16838"/>
          <w:pgMar w:top="1417" w:right="1417" w:bottom="1417" w:left="1417" w:header="0" w:footer="1134" w:gutter="0"/>
          <w:pgNumType w:fmt="decimal"/>
          <w:cols w:space="425" w:num="1"/>
        </w:sectPr>
      </w:pPr>
    </w:p>
    <w:p w14:paraId="310AE6CF">
      <w:pPr>
        <w:spacing w:before="3" w:line="240" w:lineRule="auto"/>
        <w:ind w:right="13"/>
        <w:jc w:val="center"/>
        <w:outlineLvl w:val="9"/>
        <w:rPr>
          <w:rFonts w:ascii="宋体" w:hAnsi="宋体" w:eastAsia="宋体" w:cs="宋体"/>
          <w:b/>
          <w:bCs/>
          <w:color w:val="auto"/>
          <w:sz w:val="32"/>
          <w:szCs w:val="32"/>
          <w:highlight w:val="none"/>
        </w:rPr>
      </w:pPr>
      <w:bookmarkStart w:id="134" w:name="_Toc25280"/>
      <w:bookmarkStart w:id="135" w:name="_Toc10013"/>
    </w:p>
    <w:p w14:paraId="7D41C79A">
      <w:pPr>
        <w:spacing w:before="0" w:line="240" w:lineRule="auto"/>
        <w:ind w:right="0"/>
        <w:jc w:val="left"/>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A575C9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 标 函 (实质性要求)</w:t>
      </w:r>
      <w:bookmarkEnd w:id="134"/>
      <w:bookmarkEnd w:id="135"/>
    </w:p>
    <w:p w14:paraId="0107E7B5">
      <w:pPr>
        <w:spacing w:line="240" w:lineRule="auto"/>
        <w:ind w:left="14"/>
        <w:rPr>
          <w:rFonts w:ascii="宋体" w:hAnsi="宋体" w:eastAsia="宋体" w:cs="宋体"/>
          <w:color w:val="auto"/>
          <w:spacing w:val="6"/>
          <w:sz w:val="23"/>
          <w:szCs w:val="23"/>
          <w:highlight w:val="none"/>
        </w:rPr>
      </w:pPr>
    </w:p>
    <w:p w14:paraId="7CE170FE">
      <w:pPr>
        <w:spacing w:line="24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_________________</w:t>
      </w:r>
      <w:r>
        <w:rPr>
          <w:rFonts w:hint="eastAsia" w:ascii="宋体" w:hAnsi="宋体" w:eastAsia="宋体" w:cs="宋体"/>
          <w:color w:val="auto"/>
          <w:spacing w:val="6"/>
          <w:sz w:val="24"/>
          <w:szCs w:val="24"/>
          <w:highlight w:val="none"/>
        </w:rPr>
        <w:t>(招标代理机构名称)：</w:t>
      </w:r>
    </w:p>
    <w:p w14:paraId="0DD5736F">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我方全面研究了“</w:t>
      </w:r>
      <w:r>
        <w:rPr>
          <w:rFonts w:ascii="宋体" w:hAnsi="宋体" w:eastAsia="宋体" w:cs="宋体"/>
          <w:color w:val="auto"/>
          <w:spacing w:val="-1"/>
          <w:sz w:val="24"/>
          <w:szCs w:val="24"/>
          <w:highlight w:val="none"/>
        </w:rPr>
        <w:t xml:space="preserve">_________________ </w:t>
      </w:r>
      <w:r>
        <w:rPr>
          <w:rFonts w:hint="eastAsia" w:ascii="宋体" w:hAnsi="宋体" w:eastAsia="宋体" w:cs="宋体"/>
          <w:color w:val="auto"/>
          <w:spacing w:val="6"/>
          <w:sz w:val="24"/>
          <w:szCs w:val="24"/>
          <w:highlight w:val="none"/>
        </w:rPr>
        <w:t>”项目(招标编号：</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)招标文件，决定参加贵单位组织的本项目投标。我方授权</w:t>
      </w:r>
      <w:r>
        <w:rPr>
          <w:rFonts w:ascii="宋体" w:hAnsi="宋体" w:eastAsia="宋体" w:cs="宋体"/>
          <w:color w:val="auto"/>
          <w:spacing w:val="3"/>
          <w:sz w:val="24"/>
          <w:szCs w:val="24"/>
          <w:highlight w:val="none"/>
        </w:rPr>
        <w:t xml:space="preserve">_________________ </w:t>
      </w:r>
      <w:r>
        <w:rPr>
          <w:rFonts w:hint="eastAsia" w:ascii="宋体" w:hAnsi="宋体" w:eastAsia="宋体" w:cs="宋体"/>
          <w:color w:val="auto"/>
          <w:spacing w:val="6"/>
          <w:sz w:val="24"/>
          <w:szCs w:val="24"/>
          <w:highlight w:val="none"/>
        </w:rPr>
        <w:t>(姓名、职务) 代表我方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(投标单位的名称)全权处理本项目投标的有关事宜。</w:t>
      </w:r>
    </w:p>
    <w:p w14:paraId="4529AE8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一、我方自愿按照招标文件规定的各项要求向招标人提供所需服务，</w:t>
      </w:r>
      <w:r>
        <w:rPr>
          <w:rFonts w:hint="eastAsia" w:ascii="宋体" w:hAnsi="宋体" w:eastAsia="宋体" w:cs="宋体"/>
          <w:b/>
          <w:bCs/>
          <w:color w:val="auto"/>
          <w:spacing w:val="6"/>
          <w:sz w:val="24"/>
          <w:szCs w:val="24"/>
          <w:highlight w:val="none"/>
        </w:rPr>
        <w:t>投标报价以《开标一览表》为准</w:t>
      </w:r>
      <w:r>
        <w:rPr>
          <w:rFonts w:hint="eastAsia" w:ascii="宋体" w:hAnsi="宋体" w:eastAsia="宋体" w:cs="宋体"/>
          <w:color w:val="auto"/>
          <w:spacing w:val="6"/>
          <w:sz w:val="24"/>
          <w:szCs w:val="24"/>
          <w:highlight w:val="none"/>
        </w:rPr>
        <w:t>。</w:t>
      </w:r>
    </w:p>
    <w:p w14:paraId="596A97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二、一旦我方中标，我方将严格履行采购合同规定的责任和义务。</w:t>
      </w:r>
    </w:p>
    <w:p w14:paraId="6063B94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三、我方为本项目提交的资格性投标文件正本1份副本2份，其他响应性投标文件正本1份副本2份，用于开标唱标的“开标一览表”一份，电子文档1份。</w:t>
      </w:r>
    </w:p>
    <w:p w14:paraId="01D31D12">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四、我方已知晓全部招标文件的内容，包括修改文件（如有）以及全部相关资料和有关附件，并对上述文件均无异议。</w:t>
      </w:r>
    </w:p>
    <w:p w14:paraId="3D5FF52D">
      <w:pPr>
        <w:spacing w:line="240" w:lineRule="auto"/>
        <w:ind w:left="24" w:right="13" w:firstLine="471"/>
        <w:rPr>
          <w:rFonts w:ascii="宋体" w:hAnsi="宋体" w:eastAsia="宋体" w:cs="宋体"/>
          <w:color w:val="auto"/>
          <w:spacing w:val="6"/>
          <w:sz w:val="24"/>
          <w:szCs w:val="24"/>
          <w:highlight w:val="none"/>
        </w:rPr>
      </w:pPr>
      <w:bookmarkStart w:id="136" w:name="_Toc2829"/>
      <w:bookmarkStart w:id="137" w:name="_Toc1308"/>
      <w:r>
        <w:rPr>
          <w:rFonts w:hint="eastAsia" w:ascii="宋体" w:hAnsi="宋体" w:eastAsia="宋体" w:cs="宋体"/>
          <w:color w:val="auto"/>
          <w:spacing w:val="6"/>
          <w:sz w:val="24"/>
          <w:szCs w:val="24"/>
          <w:highlight w:val="none"/>
        </w:rPr>
        <w:t>五、我方同意本次招标的投标有效期为投标截止之日起90天。</w:t>
      </w:r>
      <w:bookmarkEnd w:id="136"/>
      <w:bookmarkEnd w:id="137"/>
    </w:p>
    <w:p w14:paraId="7D504C9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六、我方愿意提供贵单位可能另外要求的，与投标有关的文件资料，并保证我方已提供和将要提供的文件资料是真实、准确的。</w:t>
      </w:r>
    </w:p>
    <w:p w14:paraId="7E7FE9BE">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七、我方完全理解招标人不一定将合同授予最低报价的投标人的行为。</w:t>
      </w:r>
    </w:p>
    <w:p w14:paraId="26E5B587">
      <w:pPr>
        <w:spacing w:line="240" w:lineRule="auto"/>
        <w:rPr>
          <w:color w:val="auto"/>
          <w:sz w:val="24"/>
          <w:szCs w:val="24"/>
          <w:highlight w:val="none"/>
        </w:rPr>
      </w:pPr>
    </w:p>
    <w:p w14:paraId="4714789B">
      <w:pPr>
        <w:spacing w:line="240" w:lineRule="auto"/>
        <w:rPr>
          <w:color w:val="auto"/>
          <w:sz w:val="24"/>
          <w:szCs w:val="24"/>
          <w:highlight w:val="none"/>
        </w:rPr>
      </w:pPr>
    </w:p>
    <w:p w14:paraId="5FB4D523">
      <w:pPr>
        <w:spacing w:line="240" w:lineRule="auto"/>
        <w:rPr>
          <w:color w:val="auto"/>
          <w:sz w:val="24"/>
          <w:szCs w:val="24"/>
          <w:highlight w:val="none"/>
        </w:rPr>
      </w:pPr>
    </w:p>
    <w:p w14:paraId="552134E5">
      <w:pPr>
        <w:spacing w:before="75" w:line="240" w:lineRule="auto"/>
        <w:ind w:left="49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(盖单位公章)</w:t>
      </w:r>
    </w:p>
    <w:p w14:paraId="081FFC7A">
      <w:pPr>
        <w:spacing w:before="77" w:line="240" w:lineRule="auto"/>
        <w:ind w:left="493" w:right="410"/>
        <w:rPr>
          <w:rFonts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法定代表人/单位负责人或授权代表(签字或加盖个人名章)：</w:t>
      </w:r>
      <w:r>
        <w:rPr>
          <w:rFonts w:hint="eastAsia" w:ascii="宋体" w:hAnsi="宋体" w:eastAsia="宋体" w:cs="宋体"/>
          <w:color w:val="auto"/>
          <w:spacing w:val="6"/>
          <w:sz w:val="24"/>
          <w:szCs w:val="24"/>
          <w:highlight w:val="none"/>
          <w:u w:val="single"/>
        </w:rPr>
        <w:t xml:space="preserve">     </w:t>
      </w:r>
      <w:r>
        <w:rPr>
          <w:rFonts w:ascii="宋体" w:hAnsi="宋体" w:eastAsia="宋体" w:cs="宋体"/>
          <w:color w:val="auto"/>
          <w:spacing w:val="4"/>
          <w:sz w:val="24"/>
          <w:szCs w:val="24"/>
          <w:highlight w:val="none"/>
        </w:rPr>
        <w:t xml:space="preserve"> </w:t>
      </w:r>
    </w:p>
    <w:p w14:paraId="0EDF1A1D">
      <w:pPr>
        <w:spacing w:before="77" w:line="240" w:lineRule="auto"/>
        <w:ind w:left="493" w:right="41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通讯地址：</w:t>
      </w:r>
      <w:r>
        <w:rPr>
          <w:rFonts w:ascii="宋体" w:hAnsi="宋体" w:eastAsia="宋体" w:cs="宋体"/>
          <w:color w:val="auto"/>
          <w:sz w:val="24"/>
          <w:szCs w:val="24"/>
          <w:highlight w:val="none"/>
          <w:u w:val="single"/>
        </w:rPr>
        <w:t xml:space="preserve">                  </w:t>
      </w:r>
    </w:p>
    <w:p w14:paraId="1BC5D8EB">
      <w:pPr>
        <w:spacing w:before="1" w:line="240" w:lineRule="auto"/>
        <w:ind w:left="5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rPr>
        <w:t xml:space="preserve">                  </w:t>
      </w:r>
    </w:p>
    <w:p w14:paraId="567B90BF">
      <w:pPr>
        <w:spacing w:before="76" w:line="240" w:lineRule="auto"/>
        <w:ind w:left="49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联系电话：</w:t>
      </w:r>
      <w:r>
        <w:rPr>
          <w:rFonts w:ascii="宋体" w:hAnsi="宋体" w:eastAsia="宋体" w:cs="宋体"/>
          <w:color w:val="auto"/>
          <w:sz w:val="24"/>
          <w:szCs w:val="24"/>
          <w:highlight w:val="none"/>
          <w:u w:val="single"/>
        </w:rPr>
        <w:t xml:space="preserve">                  </w:t>
      </w:r>
    </w:p>
    <w:p w14:paraId="50783577">
      <w:pPr>
        <w:spacing w:before="74" w:line="240" w:lineRule="auto"/>
        <w:ind w:left="49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    真 ：</w:t>
      </w:r>
      <w:r>
        <w:rPr>
          <w:rFonts w:ascii="宋体" w:hAnsi="宋体" w:eastAsia="宋体" w:cs="宋体"/>
          <w:color w:val="auto"/>
          <w:sz w:val="24"/>
          <w:szCs w:val="24"/>
          <w:highlight w:val="none"/>
          <w:u w:val="single"/>
        </w:rPr>
        <w:t xml:space="preserve">                  </w:t>
      </w:r>
    </w:p>
    <w:p w14:paraId="20615A78">
      <w:pPr>
        <w:spacing w:before="78"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日    期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日</w:t>
      </w:r>
    </w:p>
    <w:p w14:paraId="6C12ECBC">
      <w:pPr>
        <w:spacing w:line="240" w:lineRule="auto"/>
        <w:rPr>
          <w:color w:val="auto"/>
          <w:highlight w:val="none"/>
        </w:rPr>
        <w:sectPr>
          <w:headerReference r:id="rId18" w:type="default"/>
          <w:footerReference r:id="rId19" w:type="default"/>
          <w:type w:val="continuous"/>
          <w:pgSz w:w="11905" w:h="16838"/>
          <w:pgMar w:top="1417" w:right="1417" w:bottom="1417" w:left="1417" w:header="0" w:footer="1134" w:gutter="0"/>
          <w:pgNumType w:fmt="decimal"/>
          <w:cols w:space="425" w:num="1"/>
        </w:sectPr>
      </w:pPr>
    </w:p>
    <w:p w14:paraId="52A3C29C">
      <w:pPr>
        <w:spacing w:before="3" w:line="240" w:lineRule="auto"/>
        <w:ind w:right="13"/>
        <w:jc w:val="center"/>
        <w:outlineLvl w:val="9"/>
        <w:rPr>
          <w:rFonts w:ascii="宋体" w:hAnsi="宋体" w:eastAsia="宋体" w:cs="宋体"/>
          <w:b/>
          <w:bCs/>
          <w:color w:val="auto"/>
          <w:sz w:val="32"/>
          <w:szCs w:val="32"/>
          <w:highlight w:val="none"/>
        </w:rPr>
      </w:pPr>
      <w:bookmarkStart w:id="138" w:name="_Toc3141"/>
      <w:bookmarkStart w:id="139" w:name="_Toc27869"/>
      <w:r>
        <w:rPr>
          <w:rFonts w:hint="eastAsia" w:ascii="宋体" w:hAnsi="宋体" w:eastAsia="宋体" w:cs="宋体"/>
          <w:b/>
          <w:bCs/>
          <w:color w:val="auto"/>
          <w:sz w:val="32"/>
          <w:szCs w:val="32"/>
          <w:highlight w:val="none"/>
        </w:rPr>
        <w:t>二、开标一览表</w:t>
      </w:r>
      <w:bookmarkEnd w:id="138"/>
      <w:bookmarkEnd w:id="139"/>
    </w:p>
    <w:p w14:paraId="02B62B3D">
      <w:pPr>
        <w:spacing w:before="136" w:line="240" w:lineRule="auto"/>
        <w:ind w:left="594"/>
        <w:rPr>
          <w:rFonts w:ascii="宋体" w:hAnsi="宋体" w:eastAsia="宋体" w:cs="宋体"/>
          <w:color w:val="auto"/>
          <w:spacing w:val="-2"/>
          <w:sz w:val="23"/>
          <w:szCs w:val="23"/>
          <w:highlight w:val="none"/>
        </w:rPr>
      </w:pPr>
    </w:p>
    <w:tbl>
      <w:tblPr>
        <w:tblStyle w:val="18"/>
        <w:tblW w:w="8649" w:type="dxa"/>
        <w:jc w:val="center"/>
        <w:tblLayout w:type="fixed"/>
        <w:tblCellMar>
          <w:top w:w="0" w:type="dxa"/>
          <w:left w:w="108" w:type="dxa"/>
          <w:bottom w:w="0" w:type="dxa"/>
          <w:right w:w="108" w:type="dxa"/>
        </w:tblCellMar>
      </w:tblPr>
      <w:tblGrid>
        <w:gridCol w:w="1587"/>
        <w:gridCol w:w="7062"/>
      </w:tblGrid>
      <w:tr w14:paraId="5841FE30">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266D90D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w:t>
            </w:r>
          </w:p>
        </w:tc>
        <w:tc>
          <w:tcPr>
            <w:tcW w:w="7062" w:type="dxa"/>
            <w:tcBorders>
              <w:top w:val="single" w:color="000000" w:sz="4" w:space="0"/>
              <w:left w:val="single" w:color="000000" w:sz="4" w:space="0"/>
              <w:bottom w:val="single" w:color="000000" w:sz="4" w:space="0"/>
              <w:right w:val="single" w:color="000000" w:sz="4" w:space="0"/>
            </w:tcBorders>
            <w:vAlign w:val="center"/>
          </w:tcPr>
          <w:p w14:paraId="4A80FB72">
            <w:pPr>
              <w:spacing w:line="240" w:lineRule="auto"/>
              <w:ind w:right="13"/>
              <w:jc w:val="center"/>
              <w:rPr>
                <w:rFonts w:ascii="宋体" w:hAnsi="宋体" w:eastAsia="宋体" w:cs="宋体"/>
                <w:color w:val="auto"/>
                <w:spacing w:val="6"/>
                <w:sz w:val="24"/>
                <w:szCs w:val="24"/>
                <w:highlight w:val="none"/>
              </w:rPr>
            </w:pPr>
          </w:p>
        </w:tc>
      </w:tr>
      <w:tr w14:paraId="2FBFA30C">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7079DB0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w:t>
            </w:r>
          </w:p>
        </w:tc>
        <w:tc>
          <w:tcPr>
            <w:tcW w:w="7062" w:type="dxa"/>
            <w:tcBorders>
              <w:top w:val="single" w:color="000000" w:sz="4" w:space="0"/>
              <w:left w:val="single" w:color="000000" w:sz="4" w:space="0"/>
              <w:bottom w:val="single" w:color="000000" w:sz="4" w:space="0"/>
              <w:right w:val="single" w:color="000000" w:sz="4" w:space="0"/>
            </w:tcBorders>
            <w:vAlign w:val="center"/>
          </w:tcPr>
          <w:p w14:paraId="3A95EF72">
            <w:pPr>
              <w:spacing w:line="240" w:lineRule="auto"/>
              <w:ind w:right="13"/>
              <w:jc w:val="center"/>
              <w:rPr>
                <w:rFonts w:ascii="宋体" w:hAnsi="宋体" w:eastAsia="宋体" w:cs="宋体"/>
                <w:color w:val="auto"/>
                <w:spacing w:val="6"/>
                <w:sz w:val="24"/>
                <w:szCs w:val="24"/>
                <w:highlight w:val="none"/>
              </w:rPr>
            </w:pPr>
          </w:p>
        </w:tc>
      </w:tr>
      <w:tr w14:paraId="4E51F27D">
        <w:tblPrEx>
          <w:tblCellMar>
            <w:top w:w="0" w:type="dxa"/>
            <w:left w:w="108" w:type="dxa"/>
            <w:bottom w:w="0" w:type="dxa"/>
            <w:right w:w="108" w:type="dxa"/>
          </w:tblCellMar>
        </w:tblPrEx>
        <w:trPr>
          <w:cantSplit/>
          <w:trHeight w:val="706"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2BC80B57">
            <w:pPr>
              <w:spacing w:line="240" w:lineRule="auto"/>
              <w:ind w:right="13"/>
              <w:jc w:val="center"/>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投标</w:t>
            </w:r>
            <w:r>
              <w:rPr>
                <w:rFonts w:hint="eastAsia" w:ascii="宋体" w:hAnsi="宋体" w:eastAsia="宋体" w:cs="宋体"/>
                <w:color w:val="auto"/>
                <w:spacing w:val="6"/>
                <w:sz w:val="24"/>
                <w:szCs w:val="24"/>
                <w:highlight w:val="none"/>
                <w:lang w:val="en-US" w:eastAsia="zh-CN"/>
              </w:rPr>
              <w:t>报价</w:t>
            </w:r>
          </w:p>
        </w:tc>
        <w:tc>
          <w:tcPr>
            <w:tcW w:w="7062" w:type="dxa"/>
            <w:tcBorders>
              <w:top w:val="single" w:color="000000" w:sz="4" w:space="0"/>
              <w:left w:val="single" w:color="000000" w:sz="4" w:space="0"/>
              <w:bottom w:val="single" w:color="000000" w:sz="4" w:space="0"/>
              <w:right w:val="single" w:color="000000" w:sz="4" w:space="0"/>
            </w:tcBorders>
            <w:vAlign w:val="center"/>
          </w:tcPr>
          <w:p w14:paraId="0A0D6FE8">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小写：                </w:t>
            </w:r>
          </w:p>
          <w:p w14:paraId="46C11E6D">
            <w:pPr>
              <w:spacing w:line="240" w:lineRule="auto"/>
              <w:ind w:right="13"/>
              <w:jc w:val="both"/>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大写：</w:t>
            </w:r>
            <w:r>
              <w:rPr>
                <w:rFonts w:hint="eastAsia" w:ascii="宋体" w:hAnsi="宋体" w:eastAsia="宋体" w:cs="宋体"/>
                <w:color w:val="auto"/>
                <w:spacing w:val="6"/>
                <w:sz w:val="24"/>
                <w:szCs w:val="24"/>
                <w:highlight w:val="none"/>
                <w:lang w:val="en-US" w:eastAsia="zh-CN"/>
              </w:rPr>
              <w:t xml:space="preserve">              </w:t>
            </w:r>
          </w:p>
        </w:tc>
      </w:tr>
      <w:tr w14:paraId="5F620BEF">
        <w:tblPrEx>
          <w:tblCellMar>
            <w:top w:w="0" w:type="dxa"/>
            <w:left w:w="108" w:type="dxa"/>
            <w:bottom w:w="0" w:type="dxa"/>
            <w:right w:w="108" w:type="dxa"/>
          </w:tblCellMar>
        </w:tblPrEx>
        <w:trPr>
          <w:cantSplit/>
          <w:trHeight w:val="676" w:hRule="atLeast"/>
          <w:jc w:val="center"/>
        </w:trPr>
        <w:tc>
          <w:tcPr>
            <w:tcW w:w="8649" w:type="dxa"/>
            <w:gridSpan w:val="2"/>
            <w:tcBorders>
              <w:top w:val="single" w:color="000000" w:sz="4" w:space="0"/>
              <w:left w:val="single" w:color="000000" w:sz="4" w:space="0"/>
              <w:bottom w:val="single" w:color="000000" w:sz="4" w:space="0"/>
              <w:right w:val="single" w:color="000000" w:sz="4" w:space="0"/>
            </w:tcBorders>
            <w:vAlign w:val="center"/>
          </w:tcPr>
          <w:p w14:paraId="49FECA0D">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r>
    </w:tbl>
    <w:p w14:paraId="0FF7F300">
      <w:pPr>
        <w:spacing w:line="240" w:lineRule="auto"/>
        <w:rPr>
          <w:rFonts w:ascii="宋体" w:hAnsi="宋体" w:eastAsia="宋体" w:cs="宋体"/>
          <w:color w:val="auto"/>
          <w:spacing w:val="-2"/>
          <w:sz w:val="23"/>
          <w:szCs w:val="23"/>
          <w:highlight w:val="none"/>
        </w:rPr>
      </w:pPr>
    </w:p>
    <w:p w14:paraId="0520AA31">
      <w:pPr>
        <w:pStyle w:val="9"/>
        <w:spacing w:line="240" w:lineRule="auto"/>
        <w:rPr>
          <w:rFonts w:ascii="宋体" w:hAnsi="宋体" w:eastAsia="宋体" w:cs="宋体"/>
          <w:color w:val="auto"/>
          <w:spacing w:val="-2"/>
          <w:sz w:val="23"/>
          <w:szCs w:val="23"/>
          <w:highlight w:val="none"/>
        </w:rPr>
      </w:pPr>
    </w:p>
    <w:p w14:paraId="14B38D88">
      <w:pPr>
        <w:spacing w:before="89"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注：报价应是最终招标人验收合格后的总价，包括完成本项目的一切费用。</w:t>
      </w:r>
    </w:p>
    <w:p w14:paraId="30B301F7">
      <w:pPr>
        <w:spacing w:before="76" w:line="240" w:lineRule="auto"/>
        <w:ind w:left="494" w:right="589" w:firstLine="1"/>
        <w:rPr>
          <w:rFonts w:ascii="宋体" w:hAnsi="宋体" w:eastAsia="宋体" w:cs="宋体"/>
          <w:color w:val="auto"/>
          <w:sz w:val="24"/>
          <w:szCs w:val="24"/>
          <w:highlight w:val="none"/>
        </w:rPr>
      </w:pPr>
    </w:p>
    <w:p w14:paraId="780A47C5">
      <w:pPr>
        <w:spacing w:before="76" w:line="240" w:lineRule="auto"/>
        <w:ind w:left="494" w:right="589" w:firstLine="1"/>
        <w:rPr>
          <w:rFonts w:ascii="宋体" w:hAnsi="宋体" w:eastAsia="宋体" w:cs="宋体"/>
          <w:color w:val="auto"/>
          <w:sz w:val="24"/>
          <w:szCs w:val="24"/>
          <w:highlight w:val="none"/>
        </w:rPr>
      </w:pPr>
    </w:p>
    <w:p w14:paraId="367F452E">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5DBE4C4">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67B106D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913FA09">
      <w:pPr>
        <w:spacing w:before="78" w:line="240" w:lineRule="auto"/>
        <w:ind w:left="1313"/>
        <w:rPr>
          <w:rFonts w:ascii="宋体" w:hAnsi="宋体" w:eastAsia="宋体" w:cs="宋体"/>
          <w:color w:val="auto"/>
          <w:sz w:val="23"/>
          <w:szCs w:val="23"/>
          <w:highlight w:val="none"/>
        </w:rPr>
      </w:pPr>
    </w:p>
    <w:p w14:paraId="2AD71A5F">
      <w:pPr>
        <w:spacing w:line="240" w:lineRule="auto"/>
        <w:rPr>
          <w:rFonts w:ascii="宋体" w:hAnsi="宋体" w:eastAsia="宋体" w:cs="宋体"/>
          <w:color w:val="auto"/>
          <w:spacing w:val="-2"/>
          <w:sz w:val="23"/>
          <w:szCs w:val="23"/>
          <w:highlight w:val="none"/>
        </w:rPr>
      </w:pPr>
    </w:p>
    <w:p w14:paraId="271E290B">
      <w:pPr>
        <w:pStyle w:val="9"/>
        <w:spacing w:line="240" w:lineRule="auto"/>
        <w:rPr>
          <w:rFonts w:ascii="宋体" w:hAnsi="宋体" w:eastAsia="宋体" w:cs="宋体"/>
          <w:color w:val="auto"/>
          <w:spacing w:val="-2"/>
          <w:sz w:val="23"/>
          <w:szCs w:val="23"/>
          <w:highlight w:val="none"/>
        </w:rPr>
      </w:pPr>
    </w:p>
    <w:p w14:paraId="6D900767">
      <w:pPr>
        <w:spacing w:line="240" w:lineRule="auto"/>
        <w:rPr>
          <w:rFonts w:ascii="宋体" w:hAnsi="宋体" w:eastAsia="宋体" w:cs="宋体"/>
          <w:color w:val="auto"/>
          <w:spacing w:val="-2"/>
          <w:sz w:val="23"/>
          <w:szCs w:val="23"/>
          <w:highlight w:val="none"/>
        </w:rPr>
      </w:pPr>
    </w:p>
    <w:p w14:paraId="79889E3F">
      <w:pPr>
        <w:spacing w:line="240" w:lineRule="auto"/>
        <w:rPr>
          <w:rFonts w:ascii="宋体" w:hAnsi="宋体" w:eastAsia="宋体" w:cs="宋体"/>
          <w:color w:val="auto"/>
          <w:spacing w:val="-2"/>
          <w:sz w:val="23"/>
          <w:szCs w:val="23"/>
          <w:highlight w:val="none"/>
        </w:rPr>
      </w:pPr>
    </w:p>
    <w:p w14:paraId="150132B1">
      <w:pPr>
        <w:spacing w:line="240" w:lineRule="auto"/>
        <w:rPr>
          <w:rFonts w:ascii="宋体" w:hAnsi="宋体" w:eastAsia="宋体" w:cs="宋体"/>
          <w:color w:val="auto"/>
          <w:spacing w:val="-2"/>
          <w:sz w:val="23"/>
          <w:szCs w:val="23"/>
          <w:highlight w:val="none"/>
        </w:rPr>
      </w:pPr>
    </w:p>
    <w:p w14:paraId="6CEE7350">
      <w:pPr>
        <w:spacing w:line="240" w:lineRule="auto"/>
        <w:rPr>
          <w:rFonts w:ascii="宋体" w:hAnsi="宋体" w:eastAsia="宋体" w:cs="宋体"/>
          <w:color w:val="auto"/>
          <w:spacing w:val="-2"/>
          <w:sz w:val="23"/>
          <w:szCs w:val="23"/>
          <w:highlight w:val="none"/>
        </w:rPr>
      </w:pPr>
    </w:p>
    <w:p w14:paraId="1257F22A">
      <w:pPr>
        <w:spacing w:line="240" w:lineRule="auto"/>
        <w:rPr>
          <w:rFonts w:ascii="宋体" w:hAnsi="宋体" w:eastAsia="宋体" w:cs="宋体"/>
          <w:color w:val="auto"/>
          <w:spacing w:val="-2"/>
          <w:sz w:val="23"/>
          <w:szCs w:val="23"/>
          <w:highlight w:val="none"/>
        </w:rPr>
      </w:pPr>
    </w:p>
    <w:p w14:paraId="62821DD6">
      <w:pPr>
        <w:spacing w:line="240" w:lineRule="auto"/>
        <w:rPr>
          <w:rFonts w:ascii="宋体" w:hAnsi="宋体" w:eastAsia="宋体" w:cs="宋体"/>
          <w:color w:val="auto"/>
          <w:spacing w:val="-2"/>
          <w:sz w:val="23"/>
          <w:szCs w:val="23"/>
          <w:highlight w:val="none"/>
        </w:rPr>
      </w:pPr>
    </w:p>
    <w:p w14:paraId="623A47F7">
      <w:pPr>
        <w:spacing w:line="240" w:lineRule="auto"/>
        <w:rPr>
          <w:rFonts w:ascii="宋体" w:hAnsi="宋体" w:eastAsia="宋体" w:cs="宋体"/>
          <w:color w:val="auto"/>
          <w:spacing w:val="-2"/>
          <w:sz w:val="23"/>
          <w:szCs w:val="23"/>
          <w:highlight w:val="none"/>
        </w:rPr>
      </w:pPr>
    </w:p>
    <w:p w14:paraId="167A6C81">
      <w:pPr>
        <w:spacing w:line="240" w:lineRule="auto"/>
        <w:rPr>
          <w:color w:val="auto"/>
          <w:highlight w:val="none"/>
        </w:rPr>
      </w:pPr>
    </w:p>
    <w:p w14:paraId="010ABA5B">
      <w:pPr>
        <w:spacing w:line="240" w:lineRule="auto"/>
        <w:rPr>
          <w:color w:val="auto"/>
          <w:highlight w:val="none"/>
        </w:rPr>
      </w:pPr>
    </w:p>
    <w:p w14:paraId="4B715A7D">
      <w:pPr>
        <w:spacing w:line="240" w:lineRule="auto"/>
        <w:rPr>
          <w:color w:val="auto"/>
          <w:highlight w:val="none"/>
        </w:rPr>
        <w:sectPr>
          <w:headerReference r:id="rId20" w:type="default"/>
          <w:footerReference r:id="rId21" w:type="default"/>
          <w:pgSz w:w="11905" w:h="16838"/>
          <w:pgMar w:top="1417" w:right="1417" w:bottom="1417" w:left="1417" w:header="0" w:footer="1134" w:gutter="0"/>
          <w:pgNumType w:fmt="decimal"/>
          <w:cols w:space="425" w:num="1"/>
        </w:sectPr>
      </w:pPr>
      <w:r>
        <w:rPr>
          <w:color w:val="auto"/>
          <w:highlight w:val="none"/>
        </w:rPr>
        <w:br w:type="page"/>
      </w:r>
    </w:p>
    <w:p w14:paraId="578483F2">
      <w:pPr>
        <w:spacing w:before="3" w:line="240" w:lineRule="auto"/>
        <w:ind w:right="13"/>
        <w:jc w:val="center"/>
        <w:outlineLvl w:val="9"/>
        <w:rPr>
          <w:rFonts w:hint="eastAsia" w:ascii="宋体" w:hAnsi="宋体" w:eastAsia="宋体" w:cs="宋体"/>
          <w:b/>
          <w:bCs/>
          <w:color w:val="auto"/>
          <w:sz w:val="32"/>
          <w:szCs w:val="32"/>
          <w:highlight w:val="none"/>
          <w:lang w:eastAsia="zh-CN"/>
        </w:rPr>
      </w:pPr>
      <w:bookmarkStart w:id="140" w:name="_Toc2115"/>
      <w:bookmarkStart w:id="141" w:name="_Toc4952"/>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、中小企业声明函/监狱企业相关证明材料/残疾人福利性 单位声明函</w:t>
      </w:r>
    </w:p>
    <w:p w14:paraId="66F7BD37">
      <w:pPr>
        <w:spacing w:before="3" w:line="240" w:lineRule="auto"/>
        <w:ind w:right="13"/>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-1 中小企业声明函（货物类）</w:t>
      </w:r>
    </w:p>
    <w:p w14:paraId="6AE2E013">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中小企业声明函（货物） 本公司（联合体）郑重声明，根据《政府采购促进中小 企业发展管理办法》（财库﹝2020﹞46 号）的规定，本公司 （联合体）参加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14:paraId="107A5076">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 型企业、微型企业）</w:t>
      </w:r>
      <w:r>
        <w:rPr>
          <w:rFonts w:ascii="宋体" w:hAnsi="宋体" w:eastAsia="宋体" w:cs="宋体"/>
          <w:color w:val="auto"/>
          <w:sz w:val="24"/>
          <w:szCs w:val="24"/>
          <w:highlight w:val="none"/>
        </w:rPr>
        <w:t xml:space="preserve">； </w:t>
      </w:r>
    </w:p>
    <w:p w14:paraId="2B485675">
      <w:pPr>
        <w:numPr>
          <w:ilvl w:val="0"/>
          <w:numId w:val="4"/>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xml:space="preserve"> 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14:paraId="0E8309E1">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3ADC0792">
      <w:pPr>
        <w:spacing w:line="240" w:lineRule="auto"/>
        <w:ind w:firstLine="480" w:firstLineChars="200"/>
        <w:rPr>
          <w:color w:val="auto"/>
          <w:highlight w:val="none"/>
        </w:rPr>
      </w:pPr>
      <w:r>
        <w:rPr>
          <w:rFonts w:ascii="宋体" w:hAnsi="宋体" w:eastAsia="宋体" w:cs="宋体"/>
          <w:color w:val="auto"/>
          <w:sz w:val="24"/>
          <w:szCs w:val="24"/>
          <w:highlight w:val="none"/>
        </w:rPr>
        <w:t xml:space="preserve"> 以上企业，不属于大企业的分支机构，不存在控股股东为大企业的情形，也不存在与大企业的负责人为同一人的情形。 本企业对上述声明内容的真实性负责。如有虚假，将依法承担相应责任。</w:t>
      </w:r>
    </w:p>
    <w:p w14:paraId="2A2A9A1A">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6A922A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3C6420A">
      <w:pPr>
        <w:spacing w:line="240" w:lineRule="auto"/>
        <w:rPr>
          <w:color w:val="auto"/>
          <w:highlight w:val="none"/>
        </w:rPr>
      </w:pPr>
    </w:p>
    <w:p w14:paraId="322D3756">
      <w:pPr>
        <w:spacing w:before="3" w:line="240" w:lineRule="auto"/>
        <w:ind w:left="23" w:right="13" w:firstLine="482"/>
        <w:rPr>
          <w:rFonts w:ascii="宋体" w:hAnsi="宋体" w:eastAsia="宋体" w:cs="宋体"/>
          <w:b/>
          <w:bCs/>
          <w:color w:val="auto"/>
          <w:sz w:val="23"/>
          <w:szCs w:val="23"/>
          <w:highlight w:val="none"/>
        </w:rPr>
      </w:pPr>
    </w:p>
    <w:p w14:paraId="4CAC019E">
      <w:pPr>
        <w:spacing w:before="3" w:line="240" w:lineRule="auto"/>
        <w:ind w:left="23" w:right="13" w:firstLine="482"/>
        <w:rPr>
          <w:rFonts w:ascii="宋体" w:hAnsi="宋体" w:eastAsia="宋体" w:cs="宋体"/>
          <w:b/>
          <w:bCs/>
          <w:color w:val="auto"/>
          <w:sz w:val="23"/>
          <w:szCs w:val="23"/>
          <w:highlight w:val="none"/>
        </w:rPr>
      </w:pPr>
    </w:p>
    <w:p w14:paraId="1A8BE4B6">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注：1.从业人员、营业收入、资产总额填报上一年度数据，无上一年度数据的新成立企业可不填报。</w:t>
      </w:r>
    </w:p>
    <w:p w14:paraId="03C8D649">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2.本项目标的名称、所属行业详见第二章投标人须知附表。</w:t>
      </w:r>
    </w:p>
    <w:p w14:paraId="4E01254B">
      <w:pPr>
        <w:spacing w:line="240" w:lineRule="auto"/>
        <w:rPr>
          <w:color w:val="auto"/>
          <w:highlight w:val="none"/>
        </w:rPr>
        <w:sectPr>
          <w:headerReference r:id="rId22" w:type="default"/>
          <w:footerReference r:id="rId23" w:type="default"/>
          <w:pgSz w:w="11905" w:h="16838"/>
          <w:pgMar w:top="1417" w:right="1417" w:bottom="1417" w:left="1417" w:header="0" w:footer="1134" w:gutter="0"/>
          <w:pgNumType w:fmt="decimal"/>
          <w:cols w:space="425" w:num="1"/>
        </w:sectPr>
      </w:pPr>
    </w:p>
    <w:p w14:paraId="65C062A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-2 监狱企业相关证明材料</w:t>
      </w:r>
    </w:p>
    <w:p w14:paraId="691345EA">
      <w:pPr>
        <w:spacing w:line="240" w:lineRule="auto"/>
        <w:ind w:left="23" w:firstLine="482"/>
        <w:rPr>
          <w:rFonts w:ascii="宋体" w:hAnsi="宋体" w:eastAsia="宋体" w:cs="宋体"/>
          <w:color w:val="auto"/>
          <w:sz w:val="23"/>
          <w:szCs w:val="23"/>
          <w:highlight w:val="none"/>
        </w:rPr>
      </w:pPr>
    </w:p>
    <w:p w14:paraId="7D67B67E">
      <w:pPr>
        <w:spacing w:line="240" w:lineRule="auto"/>
        <w:ind w:left="23" w:firstLine="482"/>
        <w:rPr>
          <w:rFonts w:ascii="宋体" w:hAnsi="宋体" w:eastAsia="宋体" w:cs="宋体"/>
          <w:color w:val="auto"/>
          <w:sz w:val="23"/>
          <w:szCs w:val="23"/>
          <w:highlight w:val="none"/>
        </w:rPr>
      </w:pPr>
    </w:p>
    <w:p w14:paraId="153325AA">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39184ED">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文的规定，监狱企业参加采购活动时，应当提供由省级以上监狱管理局、戒毒管理局（含新疆生产建设兵团）出具的属于监狱企业的证明文件。</w:t>
      </w:r>
    </w:p>
    <w:p w14:paraId="303C614B">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在采购活动中，监狱企业视同小型、微型企业，享受预留份额、评审中价格扣除等政府采购促进中小企业发展的政府采购政策。</w:t>
      </w:r>
    </w:p>
    <w:p w14:paraId="62D3A278">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3.如未提供监狱企业相关证明材料的，则不能享受采购文件规定的价格扣除，但不影响供应商文件的有效性。</w:t>
      </w:r>
    </w:p>
    <w:p w14:paraId="314CC567">
      <w:pPr>
        <w:spacing w:line="240" w:lineRule="auto"/>
        <w:ind w:left="2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4.非监狱企业参加本次采购活动，无需提供本证明材料。</w:t>
      </w:r>
    </w:p>
    <w:p w14:paraId="50A41F2D">
      <w:pPr>
        <w:spacing w:line="240" w:lineRule="auto"/>
        <w:rPr>
          <w:color w:val="auto"/>
          <w:highlight w:val="none"/>
        </w:rPr>
        <w:sectPr>
          <w:headerReference r:id="rId24" w:type="default"/>
          <w:footerReference r:id="rId25" w:type="default"/>
          <w:pgSz w:w="11905" w:h="16838"/>
          <w:pgMar w:top="1417" w:right="1417" w:bottom="1417" w:left="1417" w:header="0" w:footer="1134" w:gutter="0"/>
          <w:pgNumType w:fmt="decimal"/>
          <w:cols w:space="425" w:num="1"/>
        </w:sectPr>
      </w:pPr>
    </w:p>
    <w:p w14:paraId="1C47AA84">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-3 残疾人福利性单位声明函</w:t>
      </w:r>
    </w:p>
    <w:p w14:paraId="1C1B1356">
      <w:pPr>
        <w:spacing w:line="240" w:lineRule="auto"/>
        <w:rPr>
          <w:color w:val="auto"/>
          <w:highlight w:val="none"/>
        </w:rPr>
      </w:pPr>
    </w:p>
    <w:p w14:paraId="21B2E471">
      <w:pPr>
        <w:spacing w:line="240" w:lineRule="auto"/>
        <w:rPr>
          <w:color w:val="auto"/>
          <w:highlight w:val="none"/>
        </w:rPr>
      </w:pPr>
    </w:p>
    <w:p w14:paraId="08CF702B">
      <w:pPr>
        <w:spacing w:line="240" w:lineRule="auto"/>
        <w:rPr>
          <w:color w:val="auto"/>
          <w:highlight w:val="none"/>
        </w:rPr>
      </w:pPr>
    </w:p>
    <w:p w14:paraId="5620659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5A3C6D">
      <w:pPr>
        <w:spacing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E0759B3">
      <w:pPr>
        <w:spacing w:line="240" w:lineRule="auto"/>
        <w:ind w:left="23" w:firstLine="482"/>
        <w:jc w:val="right"/>
        <w:rPr>
          <w:rFonts w:ascii="宋体" w:hAnsi="宋体" w:eastAsia="宋体" w:cs="宋体"/>
          <w:color w:val="auto"/>
          <w:sz w:val="23"/>
          <w:szCs w:val="23"/>
          <w:highlight w:val="none"/>
        </w:rPr>
      </w:pPr>
    </w:p>
    <w:p w14:paraId="65DA860F">
      <w:pPr>
        <w:spacing w:line="240" w:lineRule="auto"/>
        <w:rPr>
          <w:color w:val="auto"/>
          <w:highlight w:val="none"/>
        </w:rPr>
      </w:pPr>
    </w:p>
    <w:p w14:paraId="31BE6274">
      <w:pPr>
        <w:spacing w:line="240" w:lineRule="auto"/>
        <w:rPr>
          <w:color w:val="auto"/>
          <w:highlight w:val="none"/>
        </w:rPr>
      </w:pPr>
    </w:p>
    <w:p w14:paraId="37D69419">
      <w:pPr>
        <w:spacing w:line="240" w:lineRule="auto"/>
        <w:rPr>
          <w:color w:val="auto"/>
          <w:highlight w:val="none"/>
        </w:rPr>
      </w:pPr>
    </w:p>
    <w:p w14:paraId="46B0CD45">
      <w:pPr>
        <w:spacing w:line="24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7C992206">
      <w:pPr>
        <w:spacing w:line="24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24DDB3B">
      <w:pPr>
        <w:spacing w:line="240" w:lineRule="auto"/>
        <w:rPr>
          <w:color w:val="auto"/>
          <w:highlight w:val="none"/>
        </w:rPr>
        <w:sectPr>
          <w:headerReference r:id="rId26" w:type="default"/>
          <w:footerReference r:id="rId27" w:type="default"/>
          <w:pgSz w:w="11905" w:h="16838"/>
          <w:pgMar w:top="1417" w:right="1417" w:bottom="1417" w:left="1417" w:header="0" w:footer="1134" w:gutter="0"/>
          <w:pgNumType w:fmt="decimal"/>
          <w:cols w:space="425" w:num="1"/>
        </w:sectPr>
      </w:pPr>
    </w:p>
    <w:p w14:paraId="1E6FD3E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、商务应答表</w:t>
      </w:r>
      <w:bookmarkEnd w:id="140"/>
      <w:bookmarkEnd w:id="141"/>
    </w:p>
    <w:p w14:paraId="5363C00B">
      <w:pPr>
        <w:spacing w:line="240" w:lineRule="auto"/>
        <w:rPr>
          <w:color w:val="auto"/>
          <w:highlight w:val="none"/>
        </w:rPr>
      </w:pPr>
    </w:p>
    <w:p w14:paraId="0CA82A20">
      <w:pPr>
        <w:spacing w:before="75" w:line="240" w:lineRule="auto"/>
        <w:rPr>
          <w:rFonts w:ascii="宋体" w:hAnsi="宋体" w:eastAsia="宋体" w:cs="宋体"/>
          <w:color w:val="auto"/>
          <w:sz w:val="23"/>
          <w:szCs w:val="23"/>
          <w:highlight w:val="none"/>
          <w:u w:val="singl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3"/>
          <w:szCs w:val="23"/>
          <w:highlight w:val="none"/>
        </w:rPr>
        <w:t xml:space="preserve">  </w:t>
      </w:r>
    </w:p>
    <w:tbl>
      <w:tblPr>
        <w:tblStyle w:val="23"/>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14:paraId="4901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409957C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14:paraId="50153B8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14:paraId="34FB48E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14:paraId="781335F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14:paraId="5003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5374CBC4">
            <w:pPr>
              <w:spacing w:line="240" w:lineRule="auto"/>
              <w:rPr>
                <w:color w:val="auto"/>
                <w:sz w:val="24"/>
                <w:szCs w:val="24"/>
                <w:highlight w:val="none"/>
              </w:rPr>
            </w:pPr>
          </w:p>
        </w:tc>
        <w:tc>
          <w:tcPr>
            <w:tcW w:w="2049" w:type="dxa"/>
          </w:tcPr>
          <w:p w14:paraId="72F30CD3">
            <w:pPr>
              <w:spacing w:line="240" w:lineRule="auto"/>
              <w:rPr>
                <w:color w:val="auto"/>
                <w:sz w:val="24"/>
                <w:szCs w:val="24"/>
                <w:highlight w:val="none"/>
              </w:rPr>
            </w:pPr>
          </w:p>
        </w:tc>
        <w:tc>
          <w:tcPr>
            <w:tcW w:w="2859" w:type="dxa"/>
          </w:tcPr>
          <w:p w14:paraId="5414F5F2">
            <w:pPr>
              <w:spacing w:line="240" w:lineRule="auto"/>
              <w:rPr>
                <w:color w:val="auto"/>
                <w:sz w:val="24"/>
                <w:szCs w:val="24"/>
                <w:highlight w:val="none"/>
              </w:rPr>
            </w:pPr>
          </w:p>
        </w:tc>
        <w:tc>
          <w:tcPr>
            <w:tcW w:w="2979" w:type="dxa"/>
          </w:tcPr>
          <w:p w14:paraId="50E831B8">
            <w:pPr>
              <w:spacing w:line="240" w:lineRule="auto"/>
              <w:rPr>
                <w:color w:val="auto"/>
                <w:sz w:val="24"/>
                <w:szCs w:val="24"/>
                <w:highlight w:val="none"/>
              </w:rPr>
            </w:pPr>
          </w:p>
        </w:tc>
      </w:tr>
      <w:tr w14:paraId="36F4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42F0F0BD">
            <w:pPr>
              <w:spacing w:line="240" w:lineRule="auto"/>
              <w:rPr>
                <w:color w:val="auto"/>
                <w:sz w:val="24"/>
                <w:szCs w:val="24"/>
                <w:highlight w:val="none"/>
              </w:rPr>
            </w:pPr>
          </w:p>
        </w:tc>
        <w:tc>
          <w:tcPr>
            <w:tcW w:w="2049" w:type="dxa"/>
          </w:tcPr>
          <w:p w14:paraId="53380051">
            <w:pPr>
              <w:spacing w:line="240" w:lineRule="auto"/>
              <w:rPr>
                <w:color w:val="auto"/>
                <w:sz w:val="24"/>
                <w:szCs w:val="24"/>
                <w:highlight w:val="none"/>
              </w:rPr>
            </w:pPr>
          </w:p>
        </w:tc>
        <w:tc>
          <w:tcPr>
            <w:tcW w:w="2859" w:type="dxa"/>
          </w:tcPr>
          <w:p w14:paraId="44A35CB9">
            <w:pPr>
              <w:spacing w:line="240" w:lineRule="auto"/>
              <w:rPr>
                <w:color w:val="auto"/>
                <w:sz w:val="24"/>
                <w:szCs w:val="24"/>
                <w:highlight w:val="none"/>
              </w:rPr>
            </w:pPr>
          </w:p>
        </w:tc>
        <w:tc>
          <w:tcPr>
            <w:tcW w:w="2979" w:type="dxa"/>
          </w:tcPr>
          <w:p w14:paraId="71BA40D4">
            <w:pPr>
              <w:spacing w:line="240" w:lineRule="auto"/>
              <w:rPr>
                <w:color w:val="auto"/>
                <w:sz w:val="24"/>
                <w:szCs w:val="24"/>
                <w:highlight w:val="none"/>
              </w:rPr>
            </w:pPr>
          </w:p>
        </w:tc>
      </w:tr>
      <w:tr w14:paraId="026F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8A850B6">
            <w:pPr>
              <w:spacing w:line="240" w:lineRule="auto"/>
              <w:rPr>
                <w:color w:val="auto"/>
                <w:sz w:val="24"/>
                <w:szCs w:val="24"/>
                <w:highlight w:val="none"/>
              </w:rPr>
            </w:pPr>
          </w:p>
        </w:tc>
        <w:tc>
          <w:tcPr>
            <w:tcW w:w="2049" w:type="dxa"/>
          </w:tcPr>
          <w:p w14:paraId="7B03A095">
            <w:pPr>
              <w:spacing w:line="240" w:lineRule="auto"/>
              <w:rPr>
                <w:color w:val="auto"/>
                <w:sz w:val="24"/>
                <w:szCs w:val="24"/>
                <w:highlight w:val="none"/>
              </w:rPr>
            </w:pPr>
          </w:p>
        </w:tc>
        <w:tc>
          <w:tcPr>
            <w:tcW w:w="2859" w:type="dxa"/>
          </w:tcPr>
          <w:p w14:paraId="476307D9">
            <w:pPr>
              <w:spacing w:line="240" w:lineRule="auto"/>
              <w:rPr>
                <w:color w:val="auto"/>
                <w:sz w:val="24"/>
                <w:szCs w:val="24"/>
                <w:highlight w:val="none"/>
              </w:rPr>
            </w:pPr>
          </w:p>
        </w:tc>
        <w:tc>
          <w:tcPr>
            <w:tcW w:w="2979" w:type="dxa"/>
          </w:tcPr>
          <w:p w14:paraId="19C2A015">
            <w:pPr>
              <w:spacing w:line="240" w:lineRule="auto"/>
              <w:rPr>
                <w:color w:val="auto"/>
                <w:sz w:val="24"/>
                <w:szCs w:val="24"/>
                <w:highlight w:val="none"/>
              </w:rPr>
            </w:pPr>
          </w:p>
        </w:tc>
      </w:tr>
      <w:tr w14:paraId="5FA3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2682838C">
            <w:pPr>
              <w:spacing w:line="240" w:lineRule="auto"/>
              <w:rPr>
                <w:color w:val="auto"/>
                <w:sz w:val="24"/>
                <w:szCs w:val="24"/>
                <w:highlight w:val="none"/>
              </w:rPr>
            </w:pPr>
          </w:p>
        </w:tc>
        <w:tc>
          <w:tcPr>
            <w:tcW w:w="2049" w:type="dxa"/>
          </w:tcPr>
          <w:p w14:paraId="638ED822">
            <w:pPr>
              <w:spacing w:line="240" w:lineRule="auto"/>
              <w:rPr>
                <w:color w:val="auto"/>
                <w:sz w:val="24"/>
                <w:szCs w:val="24"/>
                <w:highlight w:val="none"/>
              </w:rPr>
            </w:pPr>
          </w:p>
        </w:tc>
        <w:tc>
          <w:tcPr>
            <w:tcW w:w="2859" w:type="dxa"/>
          </w:tcPr>
          <w:p w14:paraId="1B12A389">
            <w:pPr>
              <w:spacing w:line="240" w:lineRule="auto"/>
              <w:rPr>
                <w:color w:val="auto"/>
                <w:sz w:val="24"/>
                <w:szCs w:val="24"/>
                <w:highlight w:val="none"/>
              </w:rPr>
            </w:pPr>
          </w:p>
        </w:tc>
        <w:tc>
          <w:tcPr>
            <w:tcW w:w="2979" w:type="dxa"/>
          </w:tcPr>
          <w:p w14:paraId="5CB3EC28">
            <w:pPr>
              <w:spacing w:line="240" w:lineRule="auto"/>
              <w:rPr>
                <w:color w:val="auto"/>
                <w:sz w:val="24"/>
                <w:szCs w:val="24"/>
                <w:highlight w:val="none"/>
              </w:rPr>
            </w:pPr>
          </w:p>
        </w:tc>
      </w:tr>
      <w:tr w14:paraId="2696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54D3AAA9">
            <w:pPr>
              <w:spacing w:line="240" w:lineRule="auto"/>
              <w:rPr>
                <w:color w:val="auto"/>
                <w:sz w:val="24"/>
                <w:szCs w:val="24"/>
                <w:highlight w:val="none"/>
              </w:rPr>
            </w:pPr>
          </w:p>
        </w:tc>
        <w:tc>
          <w:tcPr>
            <w:tcW w:w="2049" w:type="dxa"/>
          </w:tcPr>
          <w:p w14:paraId="5D073957">
            <w:pPr>
              <w:spacing w:line="240" w:lineRule="auto"/>
              <w:rPr>
                <w:color w:val="auto"/>
                <w:sz w:val="24"/>
                <w:szCs w:val="24"/>
                <w:highlight w:val="none"/>
              </w:rPr>
            </w:pPr>
          </w:p>
        </w:tc>
        <w:tc>
          <w:tcPr>
            <w:tcW w:w="2859" w:type="dxa"/>
          </w:tcPr>
          <w:p w14:paraId="464CF859">
            <w:pPr>
              <w:spacing w:line="240" w:lineRule="auto"/>
              <w:rPr>
                <w:color w:val="auto"/>
                <w:sz w:val="24"/>
                <w:szCs w:val="24"/>
                <w:highlight w:val="none"/>
              </w:rPr>
            </w:pPr>
          </w:p>
        </w:tc>
        <w:tc>
          <w:tcPr>
            <w:tcW w:w="2979" w:type="dxa"/>
          </w:tcPr>
          <w:p w14:paraId="055A42CD">
            <w:pPr>
              <w:spacing w:line="240" w:lineRule="auto"/>
              <w:rPr>
                <w:color w:val="auto"/>
                <w:sz w:val="24"/>
                <w:szCs w:val="24"/>
                <w:highlight w:val="none"/>
              </w:rPr>
            </w:pPr>
          </w:p>
        </w:tc>
      </w:tr>
      <w:tr w14:paraId="1644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35F63A5D">
            <w:pPr>
              <w:spacing w:line="240" w:lineRule="auto"/>
              <w:rPr>
                <w:color w:val="auto"/>
                <w:sz w:val="24"/>
                <w:szCs w:val="24"/>
                <w:highlight w:val="none"/>
              </w:rPr>
            </w:pPr>
          </w:p>
        </w:tc>
        <w:tc>
          <w:tcPr>
            <w:tcW w:w="2049" w:type="dxa"/>
          </w:tcPr>
          <w:p w14:paraId="22F09558">
            <w:pPr>
              <w:spacing w:line="240" w:lineRule="auto"/>
              <w:rPr>
                <w:color w:val="auto"/>
                <w:sz w:val="24"/>
                <w:szCs w:val="24"/>
                <w:highlight w:val="none"/>
              </w:rPr>
            </w:pPr>
          </w:p>
        </w:tc>
        <w:tc>
          <w:tcPr>
            <w:tcW w:w="2859" w:type="dxa"/>
          </w:tcPr>
          <w:p w14:paraId="7B322F50">
            <w:pPr>
              <w:spacing w:line="240" w:lineRule="auto"/>
              <w:rPr>
                <w:color w:val="auto"/>
                <w:sz w:val="24"/>
                <w:szCs w:val="24"/>
                <w:highlight w:val="none"/>
              </w:rPr>
            </w:pPr>
          </w:p>
        </w:tc>
        <w:tc>
          <w:tcPr>
            <w:tcW w:w="2979" w:type="dxa"/>
          </w:tcPr>
          <w:p w14:paraId="17F25FF8">
            <w:pPr>
              <w:spacing w:line="240" w:lineRule="auto"/>
              <w:rPr>
                <w:color w:val="auto"/>
                <w:sz w:val="24"/>
                <w:szCs w:val="24"/>
                <w:highlight w:val="none"/>
              </w:rPr>
            </w:pPr>
          </w:p>
        </w:tc>
      </w:tr>
      <w:tr w14:paraId="1FB9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5377CF3A">
            <w:pPr>
              <w:spacing w:line="240" w:lineRule="auto"/>
              <w:rPr>
                <w:color w:val="auto"/>
                <w:sz w:val="24"/>
                <w:szCs w:val="24"/>
                <w:highlight w:val="none"/>
              </w:rPr>
            </w:pPr>
          </w:p>
        </w:tc>
        <w:tc>
          <w:tcPr>
            <w:tcW w:w="2049" w:type="dxa"/>
          </w:tcPr>
          <w:p w14:paraId="2522C69F">
            <w:pPr>
              <w:spacing w:line="240" w:lineRule="auto"/>
              <w:rPr>
                <w:color w:val="auto"/>
                <w:sz w:val="24"/>
                <w:szCs w:val="24"/>
                <w:highlight w:val="none"/>
              </w:rPr>
            </w:pPr>
          </w:p>
        </w:tc>
        <w:tc>
          <w:tcPr>
            <w:tcW w:w="2859" w:type="dxa"/>
          </w:tcPr>
          <w:p w14:paraId="615AC6F3">
            <w:pPr>
              <w:spacing w:line="240" w:lineRule="auto"/>
              <w:rPr>
                <w:color w:val="auto"/>
                <w:sz w:val="24"/>
                <w:szCs w:val="24"/>
                <w:highlight w:val="none"/>
              </w:rPr>
            </w:pPr>
          </w:p>
        </w:tc>
        <w:tc>
          <w:tcPr>
            <w:tcW w:w="2979" w:type="dxa"/>
          </w:tcPr>
          <w:p w14:paraId="011C7BBF">
            <w:pPr>
              <w:spacing w:line="240" w:lineRule="auto"/>
              <w:rPr>
                <w:color w:val="auto"/>
                <w:sz w:val="24"/>
                <w:szCs w:val="24"/>
                <w:highlight w:val="none"/>
              </w:rPr>
            </w:pPr>
          </w:p>
        </w:tc>
      </w:tr>
    </w:tbl>
    <w:p w14:paraId="2C3B8510">
      <w:pPr>
        <w:spacing w:before="75" w:line="240" w:lineRule="auto"/>
        <w:ind w:left="493"/>
        <w:rPr>
          <w:rFonts w:ascii="宋体" w:hAnsi="宋体" w:eastAsia="宋体" w:cs="宋体"/>
          <w:b/>
          <w:bCs/>
          <w:color w:val="auto"/>
          <w:sz w:val="24"/>
          <w:szCs w:val="24"/>
          <w:highlight w:val="none"/>
        </w:rPr>
      </w:pPr>
      <w:r>
        <w:rPr>
          <w:rFonts w:hint="eastAsia" w:ascii="宋体" w:hAnsi="宋体" w:eastAsia="宋体" w:cs="宋体"/>
          <w:b/>
          <w:bCs/>
          <w:color w:val="auto"/>
          <w:spacing w:val="9"/>
          <w:sz w:val="24"/>
          <w:szCs w:val="24"/>
          <w:highlight w:val="none"/>
        </w:rPr>
        <w:t>注：供应商的投标应答如和第六章全部商务要求没有偏离可以不予填写（视为完全响应），如有任何正负偏离请于明确此表格。</w:t>
      </w:r>
    </w:p>
    <w:p w14:paraId="1AEB538B">
      <w:pPr>
        <w:spacing w:line="240" w:lineRule="auto"/>
        <w:rPr>
          <w:color w:val="auto"/>
          <w:sz w:val="24"/>
          <w:szCs w:val="24"/>
          <w:highlight w:val="none"/>
        </w:rPr>
      </w:pPr>
    </w:p>
    <w:p w14:paraId="6E0E2BC7">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EFD5CD2">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65FED837">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019B850">
      <w:pPr>
        <w:spacing w:line="240" w:lineRule="auto"/>
        <w:rPr>
          <w:color w:val="auto"/>
          <w:highlight w:val="none"/>
        </w:rPr>
        <w:sectPr>
          <w:headerReference r:id="rId28" w:type="default"/>
          <w:footerReference r:id="rId29" w:type="default"/>
          <w:pgSz w:w="11905" w:h="16838"/>
          <w:pgMar w:top="1417" w:right="1417" w:bottom="1417" w:left="1417" w:header="0" w:footer="1134" w:gutter="0"/>
          <w:pgNumType w:fmt="decimal"/>
          <w:cols w:space="0" w:num="1"/>
        </w:sectPr>
      </w:pPr>
    </w:p>
    <w:p w14:paraId="1E4B687F">
      <w:pPr>
        <w:spacing w:line="240" w:lineRule="auto"/>
        <w:rPr>
          <w:color w:val="auto"/>
          <w:sz w:val="2"/>
          <w:highlight w:val="none"/>
        </w:rPr>
      </w:pPr>
      <w:r>
        <w:rPr>
          <w:color w:val="auto"/>
          <w:sz w:val="2"/>
          <w:szCs w:val="2"/>
          <w:highlight w:val="none"/>
        </w:rPr>
        <w:br w:type="column"/>
      </w:r>
    </w:p>
    <w:p w14:paraId="265D409A">
      <w:pPr>
        <w:spacing w:before="3" w:line="240" w:lineRule="auto"/>
        <w:ind w:right="13"/>
        <w:jc w:val="center"/>
        <w:outlineLvl w:val="9"/>
        <w:rPr>
          <w:rFonts w:ascii="宋体" w:hAnsi="宋体" w:eastAsia="宋体" w:cs="宋体"/>
          <w:b/>
          <w:bCs/>
          <w:color w:val="auto"/>
          <w:sz w:val="32"/>
          <w:szCs w:val="32"/>
          <w:highlight w:val="none"/>
        </w:rPr>
      </w:pPr>
      <w:bookmarkStart w:id="142" w:name="_Toc11418"/>
      <w:bookmarkStart w:id="143" w:name="_Toc5386"/>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、投标人基本情况表</w:t>
      </w:r>
      <w:bookmarkEnd w:id="142"/>
      <w:bookmarkEnd w:id="143"/>
    </w:p>
    <w:p w14:paraId="4448D60A">
      <w:pPr>
        <w:spacing w:line="240" w:lineRule="auto"/>
        <w:rPr>
          <w:color w:val="auto"/>
          <w:highlight w:val="none"/>
        </w:rPr>
      </w:pPr>
    </w:p>
    <w:tbl>
      <w:tblPr>
        <w:tblStyle w:val="23"/>
        <w:tblW w:w="8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952"/>
        <w:gridCol w:w="1233"/>
        <w:gridCol w:w="1241"/>
        <w:gridCol w:w="1314"/>
        <w:gridCol w:w="157"/>
        <w:gridCol w:w="689"/>
        <w:gridCol w:w="1096"/>
      </w:tblGrid>
      <w:tr w14:paraId="1CEA48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36" w:type="dxa"/>
            <w:tcBorders>
              <w:tl2br w:val="nil"/>
              <w:tr2bl w:val="nil"/>
            </w:tcBorders>
            <w:vAlign w:val="center"/>
          </w:tcPr>
          <w:p w14:paraId="376694F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w:t>
            </w:r>
          </w:p>
        </w:tc>
        <w:tc>
          <w:tcPr>
            <w:tcW w:w="6682" w:type="dxa"/>
            <w:gridSpan w:val="7"/>
            <w:tcBorders>
              <w:tl2br w:val="nil"/>
              <w:tr2bl w:val="nil"/>
            </w:tcBorders>
            <w:vAlign w:val="center"/>
          </w:tcPr>
          <w:p w14:paraId="752F229C">
            <w:pPr>
              <w:spacing w:line="240" w:lineRule="auto"/>
              <w:ind w:right="13"/>
              <w:jc w:val="center"/>
              <w:rPr>
                <w:rFonts w:ascii="宋体" w:hAnsi="宋体" w:eastAsia="宋体" w:cs="宋体"/>
                <w:color w:val="auto"/>
                <w:spacing w:val="6"/>
                <w:sz w:val="24"/>
                <w:szCs w:val="24"/>
                <w:highlight w:val="none"/>
              </w:rPr>
            </w:pPr>
          </w:p>
        </w:tc>
      </w:tr>
      <w:tr w14:paraId="3942E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536" w:type="dxa"/>
            <w:tcBorders>
              <w:tl2br w:val="nil"/>
              <w:tr2bl w:val="nil"/>
            </w:tcBorders>
            <w:vAlign w:val="center"/>
          </w:tcPr>
          <w:p w14:paraId="61E2C05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注册地址</w:t>
            </w:r>
          </w:p>
        </w:tc>
        <w:tc>
          <w:tcPr>
            <w:tcW w:w="3426" w:type="dxa"/>
            <w:gridSpan w:val="3"/>
            <w:tcBorders>
              <w:tl2br w:val="nil"/>
              <w:tr2bl w:val="nil"/>
            </w:tcBorders>
            <w:vAlign w:val="center"/>
          </w:tcPr>
          <w:p w14:paraId="62470F47">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09225D0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邮政编码</w:t>
            </w:r>
          </w:p>
        </w:tc>
        <w:tc>
          <w:tcPr>
            <w:tcW w:w="1942" w:type="dxa"/>
            <w:gridSpan w:val="3"/>
            <w:tcBorders>
              <w:tl2br w:val="nil"/>
              <w:tr2bl w:val="nil"/>
            </w:tcBorders>
            <w:vAlign w:val="center"/>
          </w:tcPr>
          <w:p w14:paraId="4639CE1C">
            <w:pPr>
              <w:spacing w:line="240" w:lineRule="auto"/>
              <w:ind w:right="13"/>
              <w:jc w:val="center"/>
              <w:rPr>
                <w:rFonts w:ascii="宋体" w:hAnsi="宋体" w:eastAsia="宋体" w:cs="宋体"/>
                <w:color w:val="auto"/>
                <w:spacing w:val="6"/>
                <w:sz w:val="24"/>
                <w:szCs w:val="24"/>
                <w:highlight w:val="none"/>
              </w:rPr>
            </w:pPr>
          </w:p>
        </w:tc>
      </w:tr>
      <w:tr w14:paraId="25DC1A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vMerge w:val="restart"/>
            <w:tcBorders>
              <w:tl2br w:val="nil"/>
              <w:tr2bl w:val="nil"/>
            </w:tcBorders>
            <w:vAlign w:val="center"/>
          </w:tcPr>
          <w:p w14:paraId="6E2E70F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联系方式</w:t>
            </w:r>
          </w:p>
        </w:tc>
        <w:tc>
          <w:tcPr>
            <w:tcW w:w="952" w:type="dxa"/>
            <w:tcBorders>
              <w:tl2br w:val="nil"/>
              <w:tr2bl w:val="nil"/>
            </w:tcBorders>
            <w:vAlign w:val="center"/>
          </w:tcPr>
          <w:p w14:paraId="497807E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联系人</w:t>
            </w:r>
          </w:p>
        </w:tc>
        <w:tc>
          <w:tcPr>
            <w:tcW w:w="2474" w:type="dxa"/>
            <w:gridSpan w:val="2"/>
            <w:tcBorders>
              <w:tl2br w:val="nil"/>
              <w:tr2bl w:val="nil"/>
            </w:tcBorders>
            <w:vAlign w:val="center"/>
          </w:tcPr>
          <w:p w14:paraId="1DF27132">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50110D1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942" w:type="dxa"/>
            <w:gridSpan w:val="3"/>
            <w:tcBorders>
              <w:tl2br w:val="nil"/>
              <w:tr2bl w:val="nil"/>
            </w:tcBorders>
            <w:vAlign w:val="center"/>
          </w:tcPr>
          <w:p w14:paraId="2F98CC47">
            <w:pPr>
              <w:spacing w:line="240" w:lineRule="auto"/>
              <w:ind w:right="13"/>
              <w:jc w:val="center"/>
              <w:rPr>
                <w:rFonts w:ascii="宋体" w:hAnsi="宋体" w:eastAsia="宋体" w:cs="宋体"/>
                <w:color w:val="auto"/>
                <w:spacing w:val="6"/>
                <w:sz w:val="24"/>
                <w:szCs w:val="24"/>
                <w:highlight w:val="none"/>
              </w:rPr>
            </w:pPr>
          </w:p>
        </w:tc>
      </w:tr>
      <w:tr w14:paraId="386157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36" w:type="dxa"/>
            <w:vMerge w:val="continue"/>
            <w:tcBorders>
              <w:tl2br w:val="nil"/>
              <w:tr2bl w:val="nil"/>
            </w:tcBorders>
            <w:vAlign w:val="center"/>
          </w:tcPr>
          <w:p w14:paraId="52921F60">
            <w:pPr>
              <w:spacing w:line="240" w:lineRule="auto"/>
              <w:ind w:right="13"/>
              <w:jc w:val="center"/>
              <w:rPr>
                <w:rFonts w:ascii="宋体" w:hAnsi="宋体" w:eastAsia="宋体" w:cs="宋体"/>
                <w:color w:val="auto"/>
                <w:spacing w:val="6"/>
                <w:sz w:val="24"/>
                <w:szCs w:val="24"/>
                <w:highlight w:val="none"/>
              </w:rPr>
            </w:pPr>
          </w:p>
        </w:tc>
        <w:tc>
          <w:tcPr>
            <w:tcW w:w="952" w:type="dxa"/>
            <w:tcBorders>
              <w:tl2br w:val="nil"/>
              <w:tr2bl w:val="nil"/>
            </w:tcBorders>
            <w:vAlign w:val="center"/>
          </w:tcPr>
          <w:p w14:paraId="5009264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传真</w:t>
            </w:r>
          </w:p>
        </w:tc>
        <w:tc>
          <w:tcPr>
            <w:tcW w:w="2474" w:type="dxa"/>
            <w:gridSpan w:val="2"/>
            <w:tcBorders>
              <w:tl2br w:val="nil"/>
              <w:tr2bl w:val="nil"/>
            </w:tcBorders>
            <w:vAlign w:val="center"/>
          </w:tcPr>
          <w:p w14:paraId="02F205A8">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5739B49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网址</w:t>
            </w:r>
          </w:p>
        </w:tc>
        <w:tc>
          <w:tcPr>
            <w:tcW w:w="1942" w:type="dxa"/>
            <w:gridSpan w:val="3"/>
            <w:tcBorders>
              <w:tl2br w:val="nil"/>
              <w:tr2bl w:val="nil"/>
            </w:tcBorders>
            <w:vAlign w:val="center"/>
          </w:tcPr>
          <w:p w14:paraId="1BB1FCA7">
            <w:pPr>
              <w:spacing w:line="240" w:lineRule="auto"/>
              <w:ind w:right="13"/>
              <w:jc w:val="center"/>
              <w:rPr>
                <w:rFonts w:ascii="宋体" w:hAnsi="宋体" w:eastAsia="宋体" w:cs="宋体"/>
                <w:color w:val="auto"/>
                <w:spacing w:val="6"/>
                <w:sz w:val="24"/>
                <w:szCs w:val="24"/>
                <w:highlight w:val="none"/>
              </w:rPr>
            </w:pPr>
          </w:p>
        </w:tc>
      </w:tr>
      <w:tr w14:paraId="7C2958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10051D3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组织结构</w:t>
            </w:r>
          </w:p>
        </w:tc>
        <w:tc>
          <w:tcPr>
            <w:tcW w:w="6682" w:type="dxa"/>
            <w:gridSpan w:val="7"/>
            <w:tcBorders>
              <w:tl2br w:val="nil"/>
              <w:tr2bl w:val="nil"/>
            </w:tcBorders>
            <w:vAlign w:val="center"/>
          </w:tcPr>
          <w:p w14:paraId="383A9760">
            <w:pPr>
              <w:spacing w:line="240" w:lineRule="auto"/>
              <w:ind w:right="13"/>
              <w:jc w:val="center"/>
              <w:rPr>
                <w:rFonts w:ascii="宋体" w:hAnsi="宋体" w:eastAsia="宋体" w:cs="宋体"/>
                <w:color w:val="auto"/>
                <w:spacing w:val="6"/>
                <w:sz w:val="24"/>
                <w:szCs w:val="24"/>
                <w:highlight w:val="none"/>
              </w:rPr>
            </w:pPr>
          </w:p>
        </w:tc>
      </w:tr>
      <w:tr w14:paraId="1CE99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2D4BD45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法定代表人</w:t>
            </w:r>
          </w:p>
          <w:p w14:paraId="1AB0FCE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(负责人)</w:t>
            </w:r>
          </w:p>
        </w:tc>
        <w:tc>
          <w:tcPr>
            <w:tcW w:w="952" w:type="dxa"/>
            <w:tcBorders>
              <w:tl2br w:val="nil"/>
              <w:tr2bl w:val="nil"/>
            </w:tcBorders>
            <w:vAlign w:val="center"/>
          </w:tcPr>
          <w:p w14:paraId="6A039A7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4CA26604">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6ADF14C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35A5771F">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63751D6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23137347">
            <w:pPr>
              <w:spacing w:line="240" w:lineRule="auto"/>
              <w:ind w:right="13"/>
              <w:jc w:val="center"/>
              <w:rPr>
                <w:rFonts w:ascii="宋体" w:hAnsi="宋体" w:eastAsia="宋体" w:cs="宋体"/>
                <w:color w:val="auto"/>
                <w:spacing w:val="6"/>
                <w:sz w:val="24"/>
                <w:szCs w:val="24"/>
                <w:highlight w:val="none"/>
              </w:rPr>
            </w:pPr>
          </w:p>
        </w:tc>
      </w:tr>
      <w:tr w14:paraId="6D67E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3242D39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技术负责人</w:t>
            </w:r>
          </w:p>
        </w:tc>
        <w:tc>
          <w:tcPr>
            <w:tcW w:w="952" w:type="dxa"/>
            <w:tcBorders>
              <w:tl2br w:val="nil"/>
              <w:tr2bl w:val="nil"/>
            </w:tcBorders>
            <w:vAlign w:val="center"/>
          </w:tcPr>
          <w:p w14:paraId="3FF274A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500B63F2">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62DD65C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09F7B4A8">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2D698FE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5DCF2469">
            <w:pPr>
              <w:spacing w:line="240" w:lineRule="auto"/>
              <w:ind w:right="13"/>
              <w:jc w:val="center"/>
              <w:rPr>
                <w:rFonts w:ascii="宋体" w:hAnsi="宋体" w:eastAsia="宋体" w:cs="宋体"/>
                <w:color w:val="auto"/>
                <w:spacing w:val="6"/>
                <w:sz w:val="24"/>
                <w:szCs w:val="24"/>
                <w:highlight w:val="none"/>
              </w:rPr>
            </w:pPr>
          </w:p>
        </w:tc>
      </w:tr>
      <w:tr w14:paraId="63F37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1307465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p>
        </w:tc>
        <w:tc>
          <w:tcPr>
            <w:tcW w:w="2185" w:type="dxa"/>
            <w:gridSpan w:val="2"/>
            <w:tcBorders>
              <w:tl2br w:val="nil"/>
              <w:tr2bl w:val="nil"/>
            </w:tcBorders>
            <w:vAlign w:val="center"/>
          </w:tcPr>
          <w:p w14:paraId="182C6FA3">
            <w:pPr>
              <w:spacing w:line="240" w:lineRule="auto"/>
              <w:ind w:right="13"/>
              <w:jc w:val="center"/>
              <w:rPr>
                <w:rFonts w:ascii="宋体" w:hAnsi="宋体" w:eastAsia="宋体" w:cs="宋体"/>
                <w:color w:val="auto"/>
                <w:spacing w:val="6"/>
                <w:sz w:val="24"/>
                <w:szCs w:val="24"/>
                <w:highlight w:val="none"/>
              </w:rPr>
            </w:pPr>
          </w:p>
        </w:tc>
        <w:tc>
          <w:tcPr>
            <w:tcW w:w="4497" w:type="dxa"/>
            <w:gridSpan w:val="5"/>
            <w:tcBorders>
              <w:tl2br w:val="nil"/>
              <w:tr2bl w:val="nil"/>
            </w:tcBorders>
            <w:vAlign w:val="center"/>
          </w:tcPr>
          <w:p w14:paraId="11080857">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员工总人数：</w:t>
            </w:r>
          </w:p>
        </w:tc>
      </w:tr>
      <w:tr w14:paraId="30FF0F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497C105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企业资质等</w:t>
            </w:r>
          </w:p>
          <w:p w14:paraId="735E3B1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级</w:t>
            </w:r>
          </w:p>
        </w:tc>
        <w:tc>
          <w:tcPr>
            <w:tcW w:w="2185" w:type="dxa"/>
            <w:gridSpan w:val="2"/>
            <w:tcBorders>
              <w:tl2br w:val="nil"/>
              <w:tr2bl w:val="nil"/>
            </w:tcBorders>
            <w:vAlign w:val="center"/>
          </w:tcPr>
          <w:p w14:paraId="6ACEE975">
            <w:pPr>
              <w:spacing w:line="240" w:lineRule="auto"/>
              <w:ind w:right="13"/>
              <w:jc w:val="center"/>
              <w:rPr>
                <w:rFonts w:ascii="宋体" w:hAnsi="宋体" w:eastAsia="宋体" w:cs="宋体"/>
                <w:color w:val="auto"/>
                <w:spacing w:val="6"/>
                <w:sz w:val="24"/>
                <w:szCs w:val="24"/>
                <w:highlight w:val="none"/>
              </w:rPr>
            </w:pPr>
          </w:p>
        </w:tc>
        <w:tc>
          <w:tcPr>
            <w:tcW w:w="1241" w:type="dxa"/>
            <w:vMerge w:val="restart"/>
            <w:tcBorders>
              <w:tl2br w:val="nil"/>
              <w:tr2bl w:val="nil"/>
            </w:tcBorders>
            <w:vAlign w:val="center"/>
          </w:tcPr>
          <w:p w14:paraId="0EFB96D4">
            <w:pPr>
              <w:spacing w:line="240" w:lineRule="auto"/>
              <w:ind w:right="13"/>
              <w:jc w:val="center"/>
              <w:rPr>
                <w:rFonts w:ascii="宋体" w:hAnsi="宋体" w:eastAsia="宋体" w:cs="宋体"/>
                <w:color w:val="auto"/>
                <w:spacing w:val="6"/>
                <w:sz w:val="24"/>
                <w:szCs w:val="24"/>
                <w:highlight w:val="none"/>
              </w:rPr>
            </w:pPr>
          </w:p>
          <w:p w14:paraId="7B6D9448">
            <w:pPr>
              <w:spacing w:line="240" w:lineRule="auto"/>
              <w:ind w:right="13"/>
              <w:jc w:val="center"/>
              <w:rPr>
                <w:rFonts w:ascii="宋体" w:hAnsi="宋体" w:eastAsia="宋体" w:cs="宋体"/>
                <w:color w:val="auto"/>
                <w:spacing w:val="6"/>
                <w:sz w:val="24"/>
                <w:szCs w:val="24"/>
                <w:highlight w:val="none"/>
              </w:rPr>
            </w:pPr>
          </w:p>
          <w:p w14:paraId="238B2EDC">
            <w:pPr>
              <w:spacing w:line="240" w:lineRule="auto"/>
              <w:ind w:right="13"/>
              <w:jc w:val="center"/>
              <w:rPr>
                <w:rFonts w:ascii="宋体" w:hAnsi="宋体" w:eastAsia="宋体" w:cs="宋体"/>
                <w:color w:val="auto"/>
                <w:spacing w:val="6"/>
                <w:sz w:val="24"/>
                <w:szCs w:val="24"/>
                <w:highlight w:val="none"/>
              </w:rPr>
            </w:pPr>
          </w:p>
          <w:p w14:paraId="0C9FD847">
            <w:pPr>
              <w:spacing w:line="240" w:lineRule="auto"/>
              <w:ind w:right="13"/>
              <w:jc w:val="center"/>
              <w:rPr>
                <w:rFonts w:ascii="宋体" w:hAnsi="宋体" w:eastAsia="宋体" w:cs="宋体"/>
                <w:color w:val="auto"/>
                <w:spacing w:val="6"/>
                <w:sz w:val="24"/>
                <w:szCs w:val="24"/>
                <w:highlight w:val="none"/>
              </w:rPr>
            </w:pPr>
          </w:p>
          <w:p w14:paraId="014D0720">
            <w:pPr>
              <w:spacing w:line="240" w:lineRule="auto"/>
              <w:ind w:right="13"/>
              <w:jc w:val="center"/>
              <w:rPr>
                <w:rFonts w:ascii="宋体" w:hAnsi="宋体" w:eastAsia="宋体" w:cs="宋体"/>
                <w:color w:val="auto"/>
                <w:spacing w:val="6"/>
                <w:sz w:val="24"/>
                <w:szCs w:val="24"/>
                <w:highlight w:val="none"/>
              </w:rPr>
            </w:pPr>
          </w:p>
          <w:p w14:paraId="3E55FAA0">
            <w:pPr>
              <w:spacing w:line="240" w:lineRule="auto"/>
              <w:ind w:right="13"/>
              <w:jc w:val="center"/>
              <w:rPr>
                <w:rFonts w:ascii="宋体" w:hAnsi="宋体" w:eastAsia="宋体" w:cs="宋体"/>
                <w:color w:val="auto"/>
                <w:spacing w:val="6"/>
                <w:sz w:val="24"/>
                <w:szCs w:val="24"/>
                <w:highlight w:val="none"/>
              </w:rPr>
            </w:pPr>
          </w:p>
          <w:p w14:paraId="166F08D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其中</w:t>
            </w:r>
          </w:p>
        </w:tc>
        <w:tc>
          <w:tcPr>
            <w:tcW w:w="1471" w:type="dxa"/>
            <w:gridSpan w:val="2"/>
            <w:tcBorders>
              <w:tl2br w:val="nil"/>
              <w:tr2bl w:val="nil"/>
            </w:tcBorders>
            <w:vAlign w:val="center"/>
          </w:tcPr>
          <w:p w14:paraId="3584EE3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项目经理</w:t>
            </w:r>
          </w:p>
        </w:tc>
        <w:tc>
          <w:tcPr>
            <w:tcW w:w="1785" w:type="dxa"/>
            <w:gridSpan w:val="2"/>
            <w:tcBorders>
              <w:tl2br w:val="nil"/>
              <w:tr2bl w:val="nil"/>
            </w:tcBorders>
            <w:vAlign w:val="center"/>
          </w:tcPr>
          <w:p w14:paraId="7A7D6ED9">
            <w:pPr>
              <w:spacing w:line="240" w:lineRule="auto"/>
              <w:ind w:right="13"/>
              <w:jc w:val="center"/>
              <w:rPr>
                <w:rFonts w:ascii="宋体" w:hAnsi="宋体" w:eastAsia="宋体" w:cs="宋体"/>
                <w:color w:val="auto"/>
                <w:spacing w:val="6"/>
                <w:sz w:val="24"/>
                <w:szCs w:val="24"/>
                <w:highlight w:val="none"/>
              </w:rPr>
            </w:pPr>
          </w:p>
        </w:tc>
      </w:tr>
      <w:tr w14:paraId="557A2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03A7A91F">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营业执照号</w:t>
            </w:r>
          </w:p>
        </w:tc>
        <w:tc>
          <w:tcPr>
            <w:tcW w:w="2185" w:type="dxa"/>
            <w:gridSpan w:val="2"/>
            <w:tcBorders>
              <w:tl2br w:val="nil"/>
              <w:tr2bl w:val="nil"/>
            </w:tcBorders>
            <w:vAlign w:val="center"/>
          </w:tcPr>
          <w:p w14:paraId="120AF2D1">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2BF1EE67">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5D6E7D2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高级职称人</w:t>
            </w:r>
          </w:p>
          <w:p w14:paraId="0FBBADF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60F4A106">
            <w:pPr>
              <w:spacing w:line="240" w:lineRule="auto"/>
              <w:ind w:right="13"/>
              <w:jc w:val="center"/>
              <w:rPr>
                <w:rFonts w:ascii="宋体" w:hAnsi="宋体" w:eastAsia="宋体" w:cs="宋体"/>
                <w:color w:val="auto"/>
                <w:spacing w:val="6"/>
                <w:sz w:val="24"/>
                <w:szCs w:val="24"/>
                <w:highlight w:val="none"/>
              </w:rPr>
            </w:pPr>
          </w:p>
        </w:tc>
      </w:tr>
      <w:tr w14:paraId="27496E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42EAE57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注册资金</w:t>
            </w:r>
          </w:p>
        </w:tc>
        <w:tc>
          <w:tcPr>
            <w:tcW w:w="2185" w:type="dxa"/>
            <w:gridSpan w:val="2"/>
            <w:tcBorders>
              <w:tl2br w:val="nil"/>
              <w:tr2bl w:val="nil"/>
            </w:tcBorders>
            <w:vAlign w:val="center"/>
          </w:tcPr>
          <w:p w14:paraId="4A860013">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2D5C9AAE">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3AFE78D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中级职称人</w:t>
            </w:r>
          </w:p>
          <w:p w14:paraId="7F9760A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35102A6D">
            <w:pPr>
              <w:spacing w:line="240" w:lineRule="auto"/>
              <w:ind w:right="13"/>
              <w:jc w:val="center"/>
              <w:rPr>
                <w:rFonts w:ascii="宋体" w:hAnsi="宋体" w:eastAsia="宋体" w:cs="宋体"/>
                <w:color w:val="auto"/>
                <w:spacing w:val="6"/>
                <w:sz w:val="24"/>
                <w:szCs w:val="24"/>
                <w:highlight w:val="none"/>
              </w:rPr>
            </w:pPr>
          </w:p>
        </w:tc>
      </w:tr>
      <w:tr w14:paraId="561BD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126F70E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开户银行</w:t>
            </w:r>
          </w:p>
        </w:tc>
        <w:tc>
          <w:tcPr>
            <w:tcW w:w="2185" w:type="dxa"/>
            <w:gridSpan w:val="2"/>
            <w:tcBorders>
              <w:tl2br w:val="nil"/>
              <w:tr2bl w:val="nil"/>
            </w:tcBorders>
            <w:vAlign w:val="center"/>
          </w:tcPr>
          <w:p w14:paraId="6EE11959">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02CCFA17">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527CDE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初级职称人 员</w:t>
            </w:r>
          </w:p>
        </w:tc>
        <w:tc>
          <w:tcPr>
            <w:tcW w:w="1785" w:type="dxa"/>
            <w:gridSpan w:val="2"/>
            <w:tcBorders>
              <w:tl2br w:val="nil"/>
              <w:tr2bl w:val="nil"/>
            </w:tcBorders>
            <w:vAlign w:val="center"/>
          </w:tcPr>
          <w:p w14:paraId="77A55F55">
            <w:pPr>
              <w:spacing w:line="240" w:lineRule="auto"/>
              <w:ind w:right="13"/>
              <w:jc w:val="center"/>
              <w:rPr>
                <w:rFonts w:ascii="宋体" w:hAnsi="宋体" w:eastAsia="宋体" w:cs="宋体"/>
                <w:color w:val="auto"/>
                <w:spacing w:val="6"/>
                <w:sz w:val="24"/>
                <w:szCs w:val="24"/>
                <w:highlight w:val="none"/>
              </w:rPr>
            </w:pPr>
          </w:p>
        </w:tc>
      </w:tr>
      <w:tr w14:paraId="7F321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0082FE3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账号</w:t>
            </w:r>
          </w:p>
        </w:tc>
        <w:tc>
          <w:tcPr>
            <w:tcW w:w="2185" w:type="dxa"/>
            <w:gridSpan w:val="2"/>
            <w:tcBorders>
              <w:tl2br w:val="nil"/>
              <w:tr2bl w:val="nil"/>
            </w:tcBorders>
            <w:vAlign w:val="center"/>
          </w:tcPr>
          <w:p w14:paraId="40AD5EE7">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4FF40C18">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327E96E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技工</w:t>
            </w:r>
          </w:p>
        </w:tc>
        <w:tc>
          <w:tcPr>
            <w:tcW w:w="1785" w:type="dxa"/>
            <w:gridSpan w:val="2"/>
            <w:tcBorders>
              <w:tl2br w:val="nil"/>
              <w:tr2bl w:val="nil"/>
            </w:tcBorders>
            <w:vAlign w:val="center"/>
          </w:tcPr>
          <w:p w14:paraId="55E0BB76">
            <w:pPr>
              <w:spacing w:line="240" w:lineRule="auto"/>
              <w:ind w:right="13"/>
              <w:jc w:val="center"/>
              <w:rPr>
                <w:rFonts w:ascii="宋体" w:hAnsi="宋体" w:eastAsia="宋体" w:cs="宋体"/>
                <w:color w:val="auto"/>
                <w:spacing w:val="6"/>
                <w:sz w:val="24"/>
                <w:szCs w:val="24"/>
                <w:highlight w:val="none"/>
              </w:rPr>
            </w:pPr>
          </w:p>
        </w:tc>
      </w:tr>
      <w:tr w14:paraId="24DA4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536" w:type="dxa"/>
            <w:tcBorders>
              <w:tl2br w:val="nil"/>
              <w:tr2bl w:val="nil"/>
            </w:tcBorders>
            <w:vAlign w:val="center"/>
          </w:tcPr>
          <w:p w14:paraId="68A76C98">
            <w:pPr>
              <w:spacing w:line="240" w:lineRule="auto"/>
              <w:ind w:right="13"/>
              <w:jc w:val="center"/>
              <w:rPr>
                <w:rFonts w:ascii="宋体" w:hAnsi="宋体" w:eastAsia="宋体" w:cs="宋体"/>
                <w:color w:val="auto"/>
                <w:spacing w:val="6"/>
                <w:sz w:val="24"/>
                <w:szCs w:val="24"/>
                <w:highlight w:val="none"/>
              </w:rPr>
            </w:pPr>
          </w:p>
          <w:p w14:paraId="7A5B7EAC">
            <w:pPr>
              <w:spacing w:line="240" w:lineRule="auto"/>
              <w:ind w:right="13"/>
              <w:jc w:val="center"/>
              <w:rPr>
                <w:rFonts w:ascii="宋体" w:hAnsi="宋体" w:eastAsia="宋体" w:cs="宋体"/>
                <w:color w:val="auto"/>
                <w:spacing w:val="6"/>
                <w:sz w:val="24"/>
                <w:szCs w:val="24"/>
                <w:highlight w:val="none"/>
              </w:rPr>
            </w:pPr>
          </w:p>
          <w:p w14:paraId="044186F5">
            <w:pPr>
              <w:spacing w:line="240" w:lineRule="auto"/>
              <w:ind w:right="13"/>
              <w:jc w:val="center"/>
              <w:rPr>
                <w:rFonts w:ascii="宋体" w:hAnsi="宋体" w:eastAsia="宋体" w:cs="宋体"/>
                <w:color w:val="auto"/>
                <w:spacing w:val="6"/>
                <w:sz w:val="24"/>
                <w:szCs w:val="24"/>
                <w:highlight w:val="none"/>
              </w:rPr>
            </w:pPr>
          </w:p>
          <w:p w14:paraId="7934462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经营范围</w:t>
            </w:r>
          </w:p>
        </w:tc>
        <w:tc>
          <w:tcPr>
            <w:tcW w:w="6682" w:type="dxa"/>
            <w:gridSpan w:val="7"/>
            <w:tcBorders>
              <w:tl2br w:val="nil"/>
              <w:tr2bl w:val="nil"/>
            </w:tcBorders>
            <w:vAlign w:val="center"/>
          </w:tcPr>
          <w:p w14:paraId="16371213">
            <w:pPr>
              <w:spacing w:line="240" w:lineRule="auto"/>
              <w:ind w:right="13"/>
              <w:jc w:val="center"/>
              <w:rPr>
                <w:rFonts w:ascii="宋体" w:hAnsi="宋体" w:eastAsia="宋体" w:cs="宋体"/>
                <w:color w:val="auto"/>
                <w:spacing w:val="6"/>
                <w:sz w:val="24"/>
                <w:szCs w:val="24"/>
                <w:highlight w:val="none"/>
              </w:rPr>
            </w:pPr>
          </w:p>
        </w:tc>
      </w:tr>
      <w:tr w14:paraId="7EDCCB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36" w:type="dxa"/>
            <w:tcBorders>
              <w:tl2br w:val="nil"/>
              <w:tr2bl w:val="nil"/>
            </w:tcBorders>
            <w:vAlign w:val="center"/>
          </w:tcPr>
          <w:p w14:paraId="063C32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c>
          <w:tcPr>
            <w:tcW w:w="6682" w:type="dxa"/>
            <w:gridSpan w:val="7"/>
            <w:tcBorders>
              <w:tl2br w:val="nil"/>
              <w:tr2bl w:val="nil"/>
            </w:tcBorders>
            <w:vAlign w:val="center"/>
          </w:tcPr>
          <w:p w14:paraId="203EDA8E">
            <w:pPr>
              <w:spacing w:line="240" w:lineRule="auto"/>
              <w:ind w:right="13"/>
              <w:jc w:val="center"/>
              <w:rPr>
                <w:rFonts w:ascii="宋体" w:hAnsi="宋体" w:eastAsia="宋体" w:cs="宋体"/>
                <w:color w:val="auto"/>
                <w:spacing w:val="6"/>
                <w:sz w:val="24"/>
                <w:szCs w:val="24"/>
                <w:highlight w:val="none"/>
              </w:rPr>
            </w:pPr>
          </w:p>
        </w:tc>
      </w:tr>
    </w:tbl>
    <w:p w14:paraId="2AABCB92">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注：此表格中需要填写的若无涉及可不填写此项或“/”。 </w:t>
      </w:r>
    </w:p>
    <w:p w14:paraId="1E0068DD">
      <w:pPr>
        <w:spacing w:before="76" w:line="240" w:lineRule="auto"/>
        <w:ind w:left="494" w:right="589" w:firstLine="1"/>
        <w:rPr>
          <w:rFonts w:ascii="宋体" w:hAnsi="宋体" w:eastAsia="宋体" w:cs="宋体"/>
          <w:color w:val="auto"/>
          <w:sz w:val="24"/>
          <w:szCs w:val="24"/>
          <w:highlight w:val="none"/>
        </w:rPr>
      </w:pPr>
    </w:p>
    <w:p w14:paraId="4EDC3F48">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089B196">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6704B8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D5002E">
      <w:pPr>
        <w:spacing w:before="0" w:line="240" w:lineRule="auto"/>
        <w:ind w:left="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br w:type="page"/>
      </w:r>
    </w:p>
    <w:p w14:paraId="19B13968">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、投标人类似项目业绩一览表</w:t>
      </w:r>
    </w:p>
    <w:p w14:paraId="51291C20">
      <w:pPr>
        <w:spacing w:line="240" w:lineRule="auto"/>
        <w:rPr>
          <w:color w:val="auto"/>
          <w:highlight w:val="none"/>
        </w:rPr>
      </w:pPr>
    </w:p>
    <w:p w14:paraId="542ED014">
      <w:pPr>
        <w:spacing w:line="240" w:lineRule="auto"/>
        <w:rPr>
          <w:color w:val="auto"/>
          <w:highlight w:val="none"/>
        </w:rPr>
      </w:pPr>
    </w:p>
    <w:tbl>
      <w:tblPr>
        <w:tblStyle w:val="23"/>
        <w:tblW w:w="85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19"/>
        <w:gridCol w:w="20"/>
        <w:gridCol w:w="1300"/>
        <w:gridCol w:w="20"/>
        <w:gridCol w:w="1161"/>
        <w:gridCol w:w="1265"/>
        <w:gridCol w:w="1912"/>
        <w:gridCol w:w="760"/>
      </w:tblGrid>
      <w:tr w14:paraId="244D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4" w:type="dxa"/>
            <w:tcBorders>
              <w:right w:val="single" w:color="000000" w:sz="4" w:space="0"/>
            </w:tcBorders>
            <w:vAlign w:val="center"/>
          </w:tcPr>
          <w:p w14:paraId="2F2C88D6">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年份</w:t>
            </w:r>
          </w:p>
        </w:tc>
        <w:tc>
          <w:tcPr>
            <w:tcW w:w="1419" w:type="dxa"/>
            <w:tcBorders>
              <w:left w:val="single" w:color="000000" w:sz="4" w:space="0"/>
              <w:right w:val="single" w:color="000000" w:sz="4" w:space="0"/>
            </w:tcBorders>
            <w:vAlign w:val="center"/>
          </w:tcPr>
          <w:p w14:paraId="128CD6C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用户名称</w:t>
            </w:r>
          </w:p>
        </w:tc>
        <w:tc>
          <w:tcPr>
            <w:tcW w:w="1320" w:type="dxa"/>
            <w:gridSpan w:val="2"/>
            <w:tcBorders>
              <w:left w:val="single" w:color="000000" w:sz="4" w:space="0"/>
              <w:right w:val="single" w:color="000000" w:sz="4" w:space="0"/>
            </w:tcBorders>
            <w:vAlign w:val="center"/>
          </w:tcPr>
          <w:p w14:paraId="2D8DF95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项目名称</w:t>
            </w:r>
          </w:p>
        </w:tc>
        <w:tc>
          <w:tcPr>
            <w:tcW w:w="1181" w:type="dxa"/>
            <w:gridSpan w:val="2"/>
            <w:tcBorders>
              <w:left w:val="single" w:color="000000" w:sz="4" w:space="0"/>
              <w:right w:val="single" w:color="000000" w:sz="4" w:space="0"/>
            </w:tcBorders>
            <w:vAlign w:val="center"/>
          </w:tcPr>
          <w:p w14:paraId="18693B17">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完成时间</w:t>
            </w:r>
          </w:p>
        </w:tc>
        <w:tc>
          <w:tcPr>
            <w:tcW w:w="1265" w:type="dxa"/>
            <w:tcBorders>
              <w:left w:val="single" w:color="000000" w:sz="4" w:space="0"/>
              <w:right w:val="single" w:color="000000" w:sz="4" w:space="0"/>
            </w:tcBorders>
            <w:vAlign w:val="center"/>
          </w:tcPr>
          <w:p w14:paraId="38F299F1">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合同金额</w:t>
            </w:r>
          </w:p>
        </w:tc>
        <w:tc>
          <w:tcPr>
            <w:tcW w:w="1912" w:type="dxa"/>
            <w:tcBorders>
              <w:left w:val="single" w:color="000000" w:sz="4" w:space="0"/>
            </w:tcBorders>
            <w:vAlign w:val="center"/>
          </w:tcPr>
          <w:p w14:paraId="28EA87B1">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是否通过验收</w:t>
            </w:r>
          </w:p>
        </w:tc>
        <w:tc>
          <w:tcPr>
            <w:tcW w:w="760" w:type="dxa"/>
            <w:vAlign w:val="center"/>
          </w:tcPr>
          <w:p w14:paraId="5C0E77F5">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备注</w:t>
            </w:r>
          </w:p>
        </w:tc>
      </w:tr>
      <w:tr w14:paraId="403CC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638795B">
            <w:pPr>
              <w:spacing w:line="240" w:lineRule="auto"/>
              <w:rPr>
                <w:color w:val="auto"/>
                <w:highlight w:val="none"/>
              </w:rPr>
            </w:pPr>
          </w:p>
        </w:tc>
        <w:tc>
          <w:tcPr>
            <w:tcW w:w="1419" w:type="dxa"/>
            <w:tcBorders>
              <w:left w:val="single" w:color="000000" w:sz="4" w:space="0"/>
              <w:right w:val="single" w:color="000000" w:sz="4" w:space="0"/>
            </w:tcBorders>
          </w:tcPr>
          <w:p w14:paraId="1C56DDCA">
            <w:pPr>
              <w:spacing w:line="240" w:lineRule="auto"/>
              <w:rPr>
                <w:color w:val="auto"/>
                <w:highlight w:val="none"/>
              </w:rPr>
            </w:pPr>
          </w:p>
        </w:tc>
        <w:tc>
          <w:tcPr>
            <w:tcW w:w="1320" w:type="dxa"/>
            <w:gridSpan w:val="2"/>
            <w:tcBorders>
              <w:left w:val="single" w:color="000000" w:sz="4" w:space="0"/>
              <w:right w:val="single" w:color="000000" w:sz="4" w:space="0"/>
            </w:tcBorders>
          </w:tcPr>
          <w:p w14:paraId="591BBAED">
            <w:pPr>
              <w:spacing w:line="240" w:lineRule="auto"/>
              <w:rPr>
                <w:color w:val="auto"/>
                <w:highlight w:val="none"/>
              </w:rPr>
            </w:pPr>
          </w:p>
        </w:tc>
        <w:tc>
          <w:tcPr>
            <w:tcW w:w="1181" w:type="dxa"/>
            <w:gridSpan w:val="2"/>
            <w:tcBorders>
              <w:left w:val="single" w:color="000000" w:sz="4" w:space="0"/>
              <w:right w:val="single" w:color="000000" w:sz="4" w:space="0"/>
            </w:tcBorders>
          </w:tcPr>
          <w:p w14:paraId="550B2107">
            <w:pPr>
              <w:spacing w:line="240" w:lineRule="auto"/>
              <w:rPr>
                <w:color w:val="auto"/>
                <w:highlight w:val="none"/>
              </w:rPr>
            </w:pPr>
          </w:p>
        </w:tc>
        <w:tc>
          <w:tcPr>
            <w:tcW w:w="1265" w:type="dxa"/>
            <w:tcBorders>
              <w:left w:val="single" w:color="000000" w:sz="4" w:space="0"/>
              <w:right w:val="single" w:color="000000" w:sz="4" w:space="0"/>
            </w:tcBorders>
          </w:tcPr>
          <w:p w14:paraId="4112EBF1">
            <w:pPr>
              <w:spacing w:line="240" w:lineRule="auto"/>
              <w:rPr>
                <w:color w:val="auto"/>
                <w:highlight w:val="none"/>
              </w:rPr>
            </w:pPr>
          </w:p>
        </w:tc>
        <w:tc>
          <w:tcPr>
            <w:tcW w:w="1912" w:type="dxa"/>
            <w:tcBorders>
              <w:left w:val="single" w:color="000000" w:sz="4" w:space="0"/>
            </w:tcBorders>
          </w:tcPr>
          <w:p w14:paraId="1A22723F">
            <w:pPr>
              <w:spacing w:line="240" w:lineRule="auto"/>
              <w:rPr>
                <w:color w:val="auto"/>
                <w:highlight w:val="none"/>
              </w:rPr>
            </w:pPr>
          </w:p>
        </w:tc>
        <w:tc>
          <w:tcPr>
            <w:tcW w:w="760" w:type="dxa"/>
          </w:tcPr>
          <w:p w14:paraId="4EFD7870">
            <w:pPr>
              <w:spacing w:line="240" w:lineRule="auto"/>
              <w:rPr>
                <w:color w:val="auto"/>
                <w:highlight w:val="none"/>
              </w:rPr>
            </w:pPr>
          </w:p>
        </w:tc>
      </w:tr>
      <w:tr w14:paraId="77D2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39925493">
            <w:pPr>
              <w:spacing w:line="240" w:lineRule="auto"/>
              <w:rPr>
                <w:color w:val="auto"/>
                <w:highlight w:val="none"/>
              </w:rPr>
            </w:pPr>
          </w:p>
        </w:tc>
        <w:tc>
          <w:tcPr>
            <w:tcW w:w="1419" w:type="dxa"/>
            <w:tcBorders>
              <w:left w:val="single" w:color="000000" w:sz="4" w:space="0"/>
              <w:right w:val="single" w:color="000000" w:sz="4" w:space="0"/>
            </w:tcBorders>
          </w:tcPr>
          <w:p w14:paraId="45D8B875">
            <w:pPr>
              <w:spacing w:line="240" w:lineRule="auto"/>
              <w:rPr>
                <w:color w:val="auto"/>
                <w:highlight w:val="none"/>
              </w:rPr>
            </w:pPr>
          </w:p>
        </w:tc>
        <w:tc>
          <w:tcPr>
            <w:tcW w:w="1320" w:type="dxa"/>
            <w:gridSpan w:val="2"/>
            <w:tcBorders>
              <w:left w:val="single" w:color="000000" w:sz="4" w:space="0"/>
              <w:right w:val="single" w:color="000000" w:sz="4" w:space="0"/>
            </w:tcBorders>
          </w:tcPr>
          <w:p w14:paraId="7522C78C">
            <w:pPr>
              <w:spacing w:line="240" w:lineRule="auto"/>
              <w:rPr>
                <w:color w:val="auto"/>
                <w:highlight w:val="none"/>
              </w:rPr>
            </w:pPr>
          </w:p>
        </w:tc>
        <w:tc>
          <w:tcPr>
            <w:tcW w:w="1181" w:type="dxa"/>
            <w:gridSpan w:val="2"/>
            <w:tcBorders>
              <w:left w:val="single" w:color="000000" w:sz="4" w:space="0"/>
              <w:right w:val="single" w:color="000000" w:sz="4" w:space="0"/>
            </w:tcBorders>
          </w:tcPr>
          <w:p w14:paraId="2251F58E">
            <w:pPr>
              <w:spacing w:line="240" w:lineRule="auto"/>
              <w:rPr>
                <w:color w:val="auto"/>
                <w:highlight w:val="none"/>
              </w:rPr>
            </w:pPr>
          </w:p>
        </w:tc>
        <w:tc>
          <w:tcPr>
            <w:tcW w:w="1265" w:type="dxa"/>
            <w:tcBorders>
              <w:left w:val="single" w:color="000000" w:sz="4" w:space="0"/>
              <w:right w:val="single" w:color="000000" w:sz="4" w:space="0"/>
            </w:tcBorders>
          </w:tcPr>
          <w:p w14:paraId="00B415C9">
            <w:pPr>
              <w:spacing w:line="240" w:lineRule="auto"/>
              <w:rPr>
                <w:color w:val="auto"/>
                <w:highlight w:val="none"/>
              </w:rPr>
            </w:pPr>
          </w:p>
        </w:tc>
        <w:tc>
          <w:tcPr>
            <w:tcW w:w="1912" w:type="dxa"/>
            <w:tcBorders>
              <w:left w:val="single" w:color="000000" w:sz="4" w:space="0"/>
            </w:tcBorders>
          </w:tcPr>
          <w:p w14:paraId="733891C3">
            <w:pPr>
              <w:spacing w:line="240" w:lineRule="auto"/>
              <w:rPr>
                <w:color w:val="auto"/>
                <w:highlight w:val="none"/>
              </w:rPr>
            </w:pPr>
          </w:p>
        </w:tc>
        <w:tc>
          <w:tcPr>
            <w:tcW w:w="760" w:type="dxa"/>
          </w:tcPr>
          <w:p w14:paraId="286C74B1">
            <w:pPr>
              <w:spacing w:line="240" w:lineRule="auto"/>
              <w:rPr>
                <w:color w:val="auto"/>
                <w:highlight w:val="none"/>
              </w:rPr>
            </w:pPr>
          </w:p>
        </w:tc>
      </w:tr>
      <w:tr w14:paraId="5A5CC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12118DF">
            <w:pPr>
              <w:spacing w:line="240" w:lineRule="auto"/>
              <w:rPr>
                <w:color w:val="auto"/>
                <w:highlight w:val="none"/>
              </w:rPr>
            </w:pPr>
          </w:p>
        </w:tc>
        <w:tc>
          <w:tcPr>
            <w:tcW w:w="1419" w:type="dxa"/>
            <w:tcBorders>
              <w:left w:val="single" w:color="000000" w:sz="4" w:space="0"/>
              <w:right w:val="single" w:color="000000" w:sz="4" w:space="0"/>
            </w:tcBorders>
          </w:tcPr>
          <w:p w14:paraId="10F141C5">
            <w:pPr>
              <w:spacing w:line="240" w:lineRule="auto"/>
              <w:rPr>
                <w:color w:val="auto"/>
                <w:highlight w:val="none"/>
              </w:rPr>
            </w:pPr>
          </w:p>
        </w:tc>
        <w:tc>
          <w:tcPr>
            <w:tcW w:w="1320" w:type="dxa"/>
            <w:gridSpan w:val="2"/>
            <w:tcBorders>
              <w:left w:val="single" w:color="000000" w:sz="4" w:space="0"/>
              <w:right w:val="single" w:color="000000" w:sz="4" w:space="0"/>
            </w:tcBorders>
          </w:tcPr>
          <w:p w14:paraId="6B374660">
            <w:pPr>
              <w:spacing w:line="240" w:lineRule="auto"/>
              <w:rPr>
                <w:color w:val="auto"/>
                <w:highlight w:val="none"/>
              </w:rPr>
            </w:pPr>
          </w:p>
        </w:tc>
        <w:tc>
          <w:tcPr>
            <w:tcW w:w="1181" w:type="dxa"/>
            <w:gridSpan w:val="2"/>
            <w:tcBorders>
              <w:left w:val="single" w:color="000000" w:sz="4" w:space="0"/>
              <w:right w:val="single" w:color="000000" w:sz="4" w:space="0"/>
            </w:tcBorders>
          </w:tcPr>
          <w:p w14:paraId="5FA05612">
            <w:pPr>
              <w:spacing w:line="240" w:lineRule="auto"/>
              <w:rPr>
                <w:color w:val="auto"/>
                <w:highlight w:val="none"/>
              </w:rPr>
            </w:pPr>
          </w:p>
        </w:tc>
        <w:tc>
          <w:tcPr>
            <w:tcW w:w="1265" w:type="dxa"/>
            <w:tcBorders>
              <w:left w:val="single" w:color="000000" w:sz="4" w:space="0"/>
              <w:right w:val="single" w:color="000000" w:sz="4" w:space="0"/>
            </w:tcBorders>
          </w:tcPr>
          <w:p w14:paraId="4D17003C">
            <w:pPr>
              <w:spacing w:line="240" w:lineRule="auto"/>
              <w:rPr>
                <w:color w:val="auto"/>
                <w:highlight w:val="none"/>
              </w:rPr>
            </w:pPr>
          </w:p>
        </w:tc>
        <w:tc>
          <w:tcPr>
            <w:tcW w:w="1912" w:type="dxa"/>
            <w:tcBorders>
              <w:left w:val="single" w:color="000000" w:sz="4" w:space="0"/>
            </w:tcBorders>
          </w:tcPr>
          <w:p w14:paraId="77148D65">
            <w:pPr>
              <w:spacing w:line="240" w:lineRule="auto"/>
              <w:rPr>
                <w:color w:val="auto"/>
                <w:highlight w:val="none"/>
              </w:rPr>
            </w:pPr>
          </w:p>
        </w:tc>
        <w:tc>
          <w:tcPr>
            <w:tcW w:w="760" w:type="dxa"/>
          </w:tcPr>
          <w:p w14:paraId="79A8E6C8">
            <w:pPr>
              <w:spacing w:line="240" w:lineRule="auto"/>
              <w:rPr>
                <w:color w:val="auto"/>
                <w:highlight w:val="none"/>
              </w:rPr>
            </w:pPr>
          </w:p>
        </w:tc>
      </w:tr>
      <w:tr w14:paraId="6244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25A14A42">
            <w:pPr>
              <w:spacing w:line="240" w:lineRule="auto"/>
              <w:rPr>
                <w:color w:val="auto"/>
                <w:highlight w:val="none"/>
              </w:rPr>
            </w:pPr>
          </w:p>
        </w:tc>
        <w:tc>
          <w:tcPr>
            <w:tcW w:w="1439" w:type="dxa"/>
            <w:gridSpan w:val="2"/>
            <w:tcBorders>
              <w:left w:val="single" w:color="000000" w:sz="4" w:space="0"/>
            </w:tcBorders>
          </w:tcPr>
          <w:p w14:paraId="30B757A2">
            <w:pPr>
              <w:spacing w:line="240" w:lineRule="auto"/>
              <w:rPr>
                <w:color w:val="auto"/>
                <w:highlight w:val="none"/>
              </w:rPr>
            </w:pPr>
          </w:p>
        </w:tc>
        <w:tc>
          <w:tcPr>
            <w:tcW w:w="1300" w:type="dxa"/>
            <w:tcBorders>
              <w:right w:val="single" w:color="000000" w:sz="4" w:space="0"/>
            </w:tcBorders>
          </w:tcPr>
          <w:p w14:paraId="44ED5B5A">
            <w:pPr>
              <w:spacing w:line="240" w:lineRule="auto"/>
              <w:rPr>
                <w:color w:val="auto"/>
                <w:highlight w:val="none"/>
              </w:rPr>
            </w:pPr>
          </w:p>
        </w:tc>
        <w:tc>
          <w:tcPr>
            <w:tcW w:w="1181" w:type="dxa"/>
            <w:gridSpan w:val="2"/>
            <w:tcBorders>
              <w:left w:val="single" w:color="000000" w:sz="4" w:space="0"/>
              <w:right w:val="single" w:color="000000" w:sz="4" w:space="0"/>
            </w:tcBorders>
          </w:tcPr>
          <w:p w14:paraId="0571B8C8">
            <w:pPr>
              <w:spacing w:line="240" w:lineRule="auto"/>
              <w:rPr>
                <w:color w:val="auto"/>
                <w:highlight w:val="none"/>
              </w:rPr>
            </w:pPr>
          </w:p>
        </w:tc>
        <w:tc>
          <w:tcPr>
            <w:tcW w:w="1265" w:type="dxa"/>
            <w:tcBorders>
              <w:left w:val="single" w:color="000000" w:sz="4" w:space="0"/>
              <w:right w:val="single" w:color="000000" w:sz="4" w:space="0"/>
            </w:tcBorders>
          </w:tcPr>
          <w:p w14:paraId="4837740E">
            <w:pPr>
              <w:spacing w:line="240" w:lineRule="auto"/>
              <w:rPr>
                <w:color w:val="auto"/>
                <w:highlight w:val="none"/>
              </w:rPr>
            </w:pPr>
          </w:p>
        </w:tc>
        <w:tc>
          <w:tcPr>
            <w:tcW w:w="1912" w:type="dxa"/>
            <w:tcBorders>
              <w:left w:val="single" w:color="000000" w:sz="4" w:space="0"/>
            </w:tcBorders>
          </w:tcPr>
          <w:p w14:paraId="6595B9B0">
            <w:pPr>
              <w:spacing w:line="240" w:lineRule="auto"/>
              <w:rPr>
                <w:color w:val="auto"/>
                <w:highlight w:val="none"/>
              </w:rPr>
            </w:pPr>
          </w:p>
        </w:tc>
        <w:tc>
          <w:tcPr>
            <w:tcW w:w="760" w:type="dxa"/>
          </w:tcPr>
          <w:p w14:paraId="6CC81534">
            <w:pPr>
              <w:spacing w:line="240" w:lineRule="auto"/>
              <w:rPr>
                <w:color w:val="auto"/>
                <w:highlight w:val="none"/>
              </w:rPr>
            </w:pPr>
          </w:p>
        </w:tc>
      </w:tr>
      <w:tr w14:paraId="1F8A5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Pr>
          <w:p w14:paraId="05743443">
            <w:pPr>
              <w:spacing w:line="240" w:lineRule="auto"/>
              <w:rPr>
                <w:color w:val="auto"/>
                <w:highlight w:val="none"/>
              </w:rPr>
            </w:pPr>
          </w:p>
        </w:tc>
        <w:tc>
          <w:tcPr>
            <w:tcW w:w="1439" w:type="dxa"/>
            <w:gridSpan w:val="2"/>
          </w:tcPr>
          <w:p w14:paraId="70DF7FCB">
            <w:pPr>
              <w:spacing w:line="240" w:lineRule="auto"/>
              <w:rPr>
                <w:color w:val="auto"/>
                <w:highlight w:val="none"/>
              </w:rPr>
            </w:pPr>
          </w:p>
        </w:tc>
        <w:tc>
          <w:tcPr>
            <w:tcW w:w="1320" w:type="dxa"/>
            <w:gridSpan w:val="2"/>
          </w:tcPr>
          <w:p w14:paraId="7078D16F">
            <w:pPr>
              <w:spacing w:line="240" w:lineRule="auto"/>
              <w:rPr>
                <w:color w:val="auto"/>
                <w:highlight w:val="none"/>
              </w:rPr>
            </w:pPr>
          </w:p>
        </w:tc>
        <w:tc>
          <w:tcPr>
            <w:tcW w:w="1161" w:type="dxa"/>
          </w:tcPr>
          <w:p w14:paraId="651C6376">
            <w:pPr>
              <w:spacing w:line="240" w:lineRule="auto"/>
              <w:rPr>
                <w:color w:val="auto"/>
                <w:highlight w:val="none"/>
              </w:rPr>
            </w:pPr>
          </w:p>
        </w:tc>
        <w:tc>
          <w:tcPr>
            <w:tcW w:w="1265" w:type="dxa"/>
          </w:tcPr>
          <w:p w14:paraId="66A1AF87">
            <w:pPr>
              <w:spacing w:line="240" w:lineRule="auto"/>
              <w:rPr>
                <w:color w:val="auto"/>
                <w:highlight w:val="none"/>
              </w:rPr>
            </w:pPr>
          </w:p>
        </w:tc>
        <w:tc>
          <w:tcPr>
            <w:tcW w:w="1912" w:type="dxa"/>
          </w:tcPr>
          <w:p w14:paraId="55463243">
            <w:pPr>
              <w:spacing w:line="240" w:lineRule="auto"/>
              <w:rPr>
                <w:color w:val="auto"/>
                <w:highlight w:val="none"/>
              </w:rPr>
            </w:pPr>
          </w:p>
        </w:tc>
        <w:tc>
          <w:tcPr>
            <w:tcW w:w="760" w:type="dxa"/>
          </w:tcPr>
          <w:p w14:paraId="644E3EF9">
            <w:pPr>
              <w:spacing w:line="240" w:lineRule="auto"/>
              <w:rPr>
                <w:color w:val="auto"/>
                <w:highlight w:val="none"/>
              </w:rPr>
            </w:pPr>
          </w:p>
        </w:tc>
      </w:tr>
      <w:tr w14:paraId="315C1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0EB45862">
            <w:pPr>
              <w:spacing w:line="240" w:lineRule="auto"/>
              <w:rPr>
                <w:color w:val="auto"/>
                <w:highlight w:val="none"/>
              </w:rPr>
            </w:pPr>
          </w:p>
        </w:tc>
        <w:tc>
          <w:tcPr>
            <w:tcW w:w="1419" w:type="dxa"/>
            <w:tcBorders>
              <w:left w:val="single" w:color="000000" w:sz="4" w:space="0"/>
              <w:right w:val="single" w:color="000000" w:sz="4" w:space="0"/>
            </w:tcBorders>
          </w:tcPr>
          <w:p w14:paraId="0DAAD7C3">
            <w:pPr>
              <w:spacing w:line="240" w:lineRule="auto"/>
              <w:rPr>
                <w:color w:val="auto"/>
                <w:highlight w:val="none"/>
              </w:rPr>
            </w:pPr>
          </w:p>
        </w:tc>
        <w:tc>
          <w:tcPr>
            <w:tcW w:w="1320" w:type="dxa"/>
            <w:gridSpan w:val="2"/>
            <w:tcBorders>
              <w:left w:val="single" w:color="000000" w:sz="4" w:space="0"/>
              <w:right w:val="single" w:color="000000" w:sz="4" w:space="0"/>
            </w:tcBorders>
          </w:tcPr>
          <w:p w14:paraId="553FA8CB">
            <w:pPr>
              <w:spacing w:line="240" w:lineRule="auto"/>
              <w:rPr>
                <w:color w:val="auto"/>
                <w:highlight w:val="none"/>
              </w:rPr>
            </w:pPr>
          </w:p>
        </w:tc>
        <w:tc>
          <w:tcPr>
            <w:tcW w:w="1181" w:type="dxa"/>
            <w:gridSpan w:val="2"/>
            <w:tcBorders>
              <w:left w:val="single" w:color="000000" w:sz="4" w:space="0"/>
              <w:right w:val="single" w:color="000000" w:sz="4" w:space="0"/>
            </w:tcBorders>
          </w:tcPr>
          <w:p w14:paraId="2A0236A4">
            <w:pPr>
              <w:spacing w:line="240" w:lineRule="auto"/>
              <w:rPr>
                <w:color w:val="auto"/>
                <w:highlight w:val="none"/>
              </w:rPr>
            </w:pPr>
          </w:p>
        </w:tc>
        <w:tc>
          <w:tcPr>
            <w:tcW w:w="1265" w:type="dxa"/>
            <w:tcBorders>
              <w:left w:val="single" w:color="000000" w:sz="4" w:space="0"/>
            </w:tcBorders>
          </w:tcPr>
          <w:p w14:paraId="0B557D1D">
            <w:pPr>
              <w:spacing w:line="240" w:lineRule="auto"/>
              <w:rPr>
                <w:color w:val="auto"/>
                <w:highlight w:val="none"/>
              </w:rPr>
            </w:pPr>
          </w:p>
        </w:tc>
        <w:tc>
          <w:tcPr>
            <w:tcW w:w="1912" w:type="dxa"/>
          </w:tcPr>
          <w:p w14:paraId="3061202D">
            <w:pPr>
              <w:spacing w:line="240" w:lineRule="auto"/>
              <w:rPr>
                <w:color w:val="auto"/>
                <w:highlight w:val="none"/>
              </w:rPr>
            </w:pPr>
          </w:p>
        </w:tc>
        <w:tc>
          <w:tcPr>
            <w:tcW w:w="760" w:type="dxa"/>
          </w:tcPr>
          <w:p w14:paraId="16DDAC96">
            <w:pPr>
              <w:spacing w:line="240" w:lineRule="auto"/>
              <w:rPr>
                <w:color w:val="auto"/>
                <w:highlight w:val="none"/>
              </w:rPr>
            </w:pPr>
          </w:p>
        </w:tc>
      </w:tr>
      <w:tr w14:paraId="7EEA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Borders>
              <w:right w:val="single" w:color="000000" w:sz="4" w:space="0"/>
            </w:tcBorders>
          </w:tcPr>
          <w:p w14:paraId="188E7E17">
            <w:pPr>
              <w:spacing w:line="240" w:lineRule="auto"/>
              <w:rPr>
                <w:color w:val="auto"/>
                <w:highlight w:val="none"/>
              </w:rPr>
            </w:pPr>
          </w:p>
        </w:tc>
        <w:tc>
          <w:tcPr>
            <w:tcW w:w="1419" w:type="dxa"/>
            <w:tcBorders>
              <w:left w:val="single" w:color="000000" w:sz="4" w:space="0"/>
              <w:right w:val="single" w:color="000000" w:sz="4" w:space="0"/>
            </w:tcBorders>
          </w:tcPr>
          <w:p w14:paraId="571F3C12">
            <w:pPr>
              <w:spacing w:line="240" w:lineRule="auto"/>
              <w:rPr>
                <w:color w:val="auto"/>
                <w:highlight w:val="none"/>
              </w:rPr>
            </w:pPr>
          </w:p>
        </w:tc>
        <w:tc>
          <w:tcPr>
            <w:tcW w:w="1320" w:type="dxa"/>
            <w:gridSpan w:val="2"/>
            <w:tcBorders>
              <w:left w:val="single" w:color="000000" w:sz="4" w:space="0"/>
              <w:right w:val="single" w:color="000000" w:sz="4" w:space="0"/>
            </w:tcBorders>
          </w:tcPr>
          <w:p w14:paraId="7D95473F">
            <w:pPr>
              <w:spacing w:line="240" w:lineRule="auto"/>
              <w:rPr>
                <w:color w:val="auto"/>
                <w:highlight w:val="none"/>
              </w:rPr>
            </w:pPr>
          </w:p>
        </w:tc>
        <w:tc>
          <w:tcPr>
            <w:tcW w:w="1181" w:type="dxa"/>
            <w:gridSpan w:val="2"/>
            <w:tcBorders>
              <w:left w:val="single" w:color="000000" w:sz="4" w:space="0"/>
              <w:right w:val="single" w:color="000000" w:sz="4" w:space="0"/>
            </w:tcBorders>
          </w:tcPr>
          <w:p w14:paraId="21909B16">
            <w:pPr>
              <w:spacing w:line="240" w:lineRule="auto"/>
              <w:rPr>
                <w:color w:val="auto"/>
                <w:highlight w:val="none"/>
              </w:rPr>
            </w:pPr>
          </w:p>
        </w:tc>
        <w:tc>
          <w:tcPr>
            <w:tcW w:w="1265" w:type="dxa"/>
            <w:tcBorders>
              <w:left w:val="single" w:color="000000" w:sz="4" w:space="0"/>
            </w:tcBorders>
          </w:tcPr>
          <w:p w14:paraId="4BAAF5CF">
            <w:pPr>
              <w:spacing w:line="240" w:lineRule="auto"/>
              <w:rPr>
                <w:color w:val="auto"/>
                <w:highlight w:val="none"/>
              </w:rPr>
            </w:pPr>
          </w:p>
        </w:tc>
        <w:tc>
          <w:tcPr>
            <w:tcW w:w="1912" w:type="dxa"/>
          </w:tcPr>
          <w:p w14:paraId="2BE862D8">
            <w:pPr>
              <w:spacing w:line="240" w:lineRule="auto"/>
              <w:rPr>
                <w:color w:val="auto"/>
                <w:highlight w:val="none"/>
              </w:rPr>
            </w:pPr>
          </w:p>
        </w:tc>
        <w:tc>
          <w:tcPr>
            <w:tcW w:w="760" w:type="dxa"/>
          </w:tcPr>
          <w:p w14:paraId="3C54B158">
            <w:pPr>
              <w:spacing w:line="240" w:lineRule="auto"/>
              <w:rPr>
                <w:color w:val="auto"/>
                <w:highlight w:val="none"/>
              </w:rPr>
            </w:pPr>
          </w:p>
        </w:tc>
      </w:tr>
      <w:tr w14:paraId="3C7D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48644B6A">
            <w:pPr>
              <w:spacing w:line="240" w:lineRule="auto"/>
              <w:rPr>
                <w:color w:val="auto"/>
                <w:highlight w:val="none"/>
              </w:rPr>
            </w:pPr>
          </w:p>
        </w:tc>
        <w:tc>
          <w:tcPr>
            <w:tcW w:w="1419" w:type="dxa"/>
            <w:tcBorders>
              <w:left w:val="single" w:color="000000" w:sz="4" w:space="0"/>
              <w:right w:val="single" w:color="000000" w:sz="4" w:space="0"/>
            </w:tcBorders>
          </w:tcPr>
          <w:p w14:paraId="3806963C">
            <w:pPr>
              <w:spacing w:line="240" w:lineRule="auto"/>
              <w:rPr>
                <w:color w:val="auto"/>
                <w:highlight w:val="none"/>
              </w:rPr>
            </w:pPr>
          </w:p>
        </w:tc>
        <w:tc>
          <w:tcPr>
            <w:tcW w:w="1320" w:type="dxa"/>
            <w:gridSpan w:val="2"/>
            <w:tcBorders>
              <w:left w:val="single" w:color="000000" w:sz="4" w:space="0"/>
              <w:right w:val="single" w:color="000000" w:sz="4" w:space="0"/>
            </w:tcBorders>
          </w:tcPr>
          <w:p w14:paraId="51BE92A8">
            <w:pPr>
              <w:spacing w:line="240" w:lineRule="auto"/>
              <w:rPr>
                <w:color w:val="auto"/>
                <w:highlight w:val="none"/>
              </w:rPr>
            </w:pPr>
          </w:p>
        </w:tc>
        <w:tc>
          <w:tcPr>
            <w:tcW w:w="1181" w:type="dxa"/>
            <w:gridSpan w:val="2"/>
            <w:tcBorders>
              <w:left w:val="single" w:color="000000" w:sz="4" w:space="0"/>
              <w:right w:val="single" w:color="000000" w:sz="4" w:space="0"/>
            </w:tcBorders>
          </w:tcPr>
          <w:p w14:paraId="4904877B">
            <w:pPr>
              <w:spacing w:line="240" w:lineRule="auto"/>
              <w:rPr>
                <w:color w:val="auto"/>
                <w:highlight w:val="none"/>
              </w:rPr>
            </w:pPr>
          </w:p>
        </w:tc>
        <w:tc>
          <w:tcPr>
            <w:tcW w:w="1265" w:type="dxa"/>
            <w:tcBorders>
              <w:left w:val="single" w:color="000000" w:sz="4" w:space="0"/>
            </w:tcBorders>
          </w:tcPr>
          <w:p w14:paraId="2A4D6733">
            <w:pPr>
              <w:spacing w:line="240" w:lineRule="auto"/>
              <w:rPr>
                <w:color w:val="auto"/>
                <w:highlight w:val="none"/>
              </w:rPr>
            </w:pPr>
          </w:p>
        </w:tc>
        <w:tc>
          <w:tcPr>
            <w:tcW w:w="1912" w:type="dxa"/>
          </w:tcPr>
          <w:p w14:paraId="54E1BDEB">
            <w:pPr>
              <w:spacing w:line="240" w:lineRule="auto"/>
              <w:rPr>
                <w:color w:val="auto"/>
                <w:highlight w:val="none"/>
              </w:rPr>
            </w:pPr>
          </w:p>
        </w:tc>
        <w:tc>
          <w:tcPr>
            <w:tcW w:w="760" w:type="dxa"/>
          </w:tcPr>
          <w:p w14:paraId="38ECE336">
            <w:pPr>
              <w:spacing w:line="240" w:lineRule="auto"/>
              <w:rPr>
                <w:color w:val="auto"/>
                <w:highlight w:val="none"/>
              </w:rPr>
            </w:pPr>
          </w:p>
        </w:tc>
      </w:tr>
      <w:tr w14:paraId="41F2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724" w:type="dxa"/>
            <w:tcBorders>
              <w:right w:val="single" w:color="000000" w:sz="4" w:space="0"/>
            </w:tcBorders>
          </w:tcPr>
          <w:p w14:paraId="5B40B8B9">
            <w:pPr>
              <w:spacing w:line="240" w:lineRule="auto"/>
              <w:rPr>
                <w:color w:val="auto"/>
                <w:highlight w:val="none"/>
              </w:rPr>
            </w:pPr>
          </w:p>
        </w:tc>
        <w:tc>
          <w:tcPr>
            <w:tcW w:w="1419" w:type="dxa"/>
            <w:tcBorders>
              <w:left w:val="single" w:color="000000" w:sz="4" w:space="0"/>
              <w:right w:val="single" w:color="000000" w:sz="4" w:space="0"/>
            </w:tcBorders>
          </w:tcPr>
          <w:p w14:paraId="79AF7382">
            <w:pPr>
              <w:spacing w:line="240" w:lineRule="auto"/>
              <w:rPr>
                <w:color w:val="auto"/>
                <w:highlight w:val="none"/>
              </w:rPr>
            </w:pPr>
          </w:p>
        </w:tc>
        <w:tc>
          <w:tcPr>
            <w:tcW w:w="1320" w:type="dxa"/>
            <w:gridSpan w:val="2"/>
            <w:tcBorders>
              <w:left w:val="single" w:color="000000" w:sz="4" w:space="0"/>
              <w:right w:val="single" w:color="000000" w:sz="4" w:space="0"/>
            </w:tcBorders>
          </w:tcPr>
          <w:p w14:paraId="0FAEA9A1">
            <w:pPr>
              <w:spacing w:line="240" w:lineRule="auto"/>
              <w:rPr>
                <w:color w:val="auto"/>
                <w:highlight w:val="none"/>
              </w:rPr>
            </w:pPr>
          </w:p>
        </w:tc>
        <w:tc>
          <w:tcPr>
            <w:tcW w:w="1181" w:type="dxa"/>
            <w:gridSpan w:val="2"/>
            <w:tcBorders>
              <w:left w:val="single" w:color="000000" w:sz="4" w:space="0"/>
              <w:right w:val="single" w:color="000000" w:sz="4" w:space="0"/>
            </w:tcBorders>
          </w:tcPr>
          <w:p w14:paraId="11D55FE6">
            <w:pPr>
              <w:spacing w:line="240" w:lineRule="auto"/>
              <w:rPr>
                <w:color w:val="auto"/>
                <w:highlight w:val="none"/>
              </w:rPr>
            </w:pPr>
          </w:p>
        </w:tc>
        <w:tc>
          <w:tcPr>
            <w:tcW w:w="1265" w:type="dxa"/>
            <w:tcBorders>
              <w:left w:val="single" w:color="000000" w:sz="4" w:space="0"/>
            </w:tcBorders>
          </w:tcPr>
          <w:p w14:paraId="01B0C831">
            <w:pPr>
              <w:spacing w:line="240" w:lineRule="auto"/>
              <w:rPr>
                <w:color w:val="auto"/>
                <w:highlight w:val="none"/>
              </w:rPr>
            </w:pPr>
          </w:p>
        </w:tc>
        <w:tc>
          <w:tcPr>
            <w:tcW w:w="1912" w:type="dxa"/>
          </w:tcPr>
          <w:p w14:paraId="2721167C">
            <w:pPr>
              <w:spacing w:line="240" w:lineRule="auto"/>
              <w:rPr>
                <w:color w:val="auto"/>
                <w:highlight w:val="none"/>
              </w:rPr>
            </w:pPr>
          </w:p>
        </w:tc>
        <w:tc>
          <w:tcPr>
            <w:tcW w:w="760" w:type="dxa"/>
          </w:tcPr>
          <w:p w14:paraId="2F49B291">
            <w:pPr>
              <w:spacing w:line="240" w:lineRule="auto"/>
              <w:rPr>
                <w:color w:val="auto"/>
                <w:highlight w:val="none"/>
              </w:rPr>
            </w:pPr>
          </w:p>
        </w:tc>
      </w:tr>
      <w:tr w14:paraId="61170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2464C378">
            <w:pPr>
              <w:spacing w:line="240" w:lineRule="auto"/>
              <w:rPr>
                <w:color w:val="auto"/>
                <w:highlight w:val="none"/>
              </w:rPr>
            </w:pPr>
          </w:p>
        </w:tc>
        <w:tc>
          <w:tcPr>
            <w:tcW w:w="1419" w:type="dxa"/>
            <w:tcBorders>
              <w:left w:val="single" w:color="000000" w:sz="4" w:space="0"/>
              <w:right w:val="single" w:color="000000" w:sz="4" w:space="0"/>
            </w:tcBorders>
          </w:tcPr>
          <w:p w14:paraId="20BC9B22">
            <w:pPr>
              <w:spacing w:line="240" w:lineRule="auto"/>
              <w:rPr>
                <w:color w:val="auto"/>
                <w:highlight w:val="none"/>
              </w:rPr>
            </w:pPr>
          </w:p>
        </w:tc>
        <w:tc>
          <w:tcPr>
            <w:tcW w:w="1320" w:type="dxa"/>
            <w:gridSpan w:val="2"/>
            <w:tcBorders>
              <w:left w:val="single" w:color="000000" w:sz="4" w:space="0"/>
              <w:right w:val="single" w:color="000000" w:sz="4" w:space="0"/>
            </w:tcBorders>
          </w:tcPr>
          <w:p w14:paraId="7C196BA6">
            <w:pPr>
              <w:spacing w:line="240" w:lineRule="auto"/>
              <w:rPr>
                <w:color w:val="auto"/>
                <w:highlight w:val="none"/>
              </w:rPr>
            </w:pPr>
          </w:p>
        </w:tc>
        <w:tc>
          <w:tcPr>
            <w:tcW w:w="1181" w:type="dxa"/>
            <w:gridSpan w:val="2"/>
            <w:tcBorders>
              <w:left w:val="single" w:color="000000" w:sz="4" w:space="0"/>
              <w:right w:val="single" w:color="000000" w:sz="4" w:space="0"/>
            </w:tcBorders>
          </w:tcPr>
          <w:p w14:paraId="26F0CA24">
            <w:pPr>
              <w:spacing w:line="240" w:lineRule="auto"/>
              <w:rPr>
                <w:color w:val="auto"/>
                <w:highlight w:val="none"/>
              </w:rPr>
            </w:pPr>
          </w:p>
        </w:tc>
        <w:tc>
          <w:tcPr>
            <w:tcW w:w="1265" w:type="dxa"/>
            <w:tcBorders>
              <w:left w:val="single" w:color="000000" w:sz="4" w:space="0"/>
            </w:tcBorders>
          </w:tcPr>
          <w:p w14:paraId="62C06099">
            <w:pPr>
              <w:spacing w:line="240" w:lineRule="auto"/>
              <w:rPr>
                <w:color w:val="auto"/>
                <w:highlight w:val="none"/>
              </w:rPr>
            </w:pPr>
          </w:p>
        </w:tc>
        <w:tc>
          <w:tcPr>
            <w:tcW w:w="1912" w:type="dxa"/>
          </w:tcPr>
          <w:p w14:paraId="356D2622">
            <w:pPr>
              <w:spacing w:line="240" w:lineRule="auto"/>
              <w:rPr>
                <w:color w:val="auto"/>
                <w:highlight w:val="none"/>
              </w:rPr>
            </w:pPr>
          </w:p>
        </w:tc>
        <w:tc>
          <w:tcPr>
            <w:tcW w:w="760" w:type="dxa"/>
          </w:tcPr>
          <w:p w14:paraId="6523C1AD">
            <w:pPr>
              <w:spacing w:line="240" w:lineRule="auto"/>
              <w:rPr>
                <w:color w:val="auto"/>
                <w:highlight w:val="none"/>
              </w:rPr>
            </w:pPr>
          </w:p>
        </w:tc>
      </w:tr>
      <w:tr w14:paraId="65F9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30F72AA2">
            <w:pPr>
              <w:spacing w:line="240" w:lineRule="auto"/>
              <w:rPr>
                <w:color w:val="auto"/>
                <w:highlight w:val="none"/>
              </w:rPr>
            </w:pPr>
          </w:p>
        </w:tc>
        <w:tc>
          <w:tcPr>
            <w:tcW w:w="1419" w:type="dxa"/>
            <w:tcBorders>
              <w:left w:val="single" w:color="000000" w:sz="4" w:space="0"/>
              <w:right w:val="single" w:color="000000" w:sz="4" w:space="0"/>
            </w:tcBorders>
          </w:tcPr>
          <w:p w14:paraId="57E4CC4A">
            <w:pPr>
              <w:spacing w:line="240" w:lineRule="auto"/>
              <w:rPr>
                <w:color w:val="auto"/>
                <w:highlight w:val="none"/>
              </w:rPr>
            </w:pPr>
          </w:p>
        </w:tc>
        <w:tc>
          <w:tcPr>
            <w:tcW w:w="1320" w:type="dxa"/>
            <w:gridSpan w:val="2"/>
            <w:tcBorders>
              <w:left w:val="single" w:color="000000" w:sz="4" w:space="0"/>
              <w:right w:val="single" w:color="000000" w:sz="4" w:space="0"/>
            </w:tcBorders>
          </w:tcPr>
          <w:p w14:paraId="0BB8D2D6">
            <w:pPr>
              <w:spacing w:line="240" w:lineRule="auto"/>
              <w:rPr>
                <w:color w:val="auto"/>
                <w:highlight w:val="none"/>
              </w:rPr>
            </w:pPr>
          </w:p>
        </w:tc>
        <w:tc>
          <w:tcPr>
            <w:tcW w:w="1181" w:type="dxa"/>
            <w:gridSpan w:val="2"/>
            <w:tcBorders>
              <w:left w:val="single" w:color="000000" w:sz="4" w:space="0"/>
              <w:right w:val="single" w:color="000000" w:sz="4" w:space="0"/>
            </w:tcBorders>
          </w:tcPr>
          <w:p w14:paraId="47E99BB1">
            <w:pPr>
              <w:spacing w:line="240" w:lineRule="auto"/>
              <w:rPr>
                <w:color w:val="auto"/>
                <w:highlight w:val="none"/>
              </w:rPr>
            </w:pPr>
          </w:p>
        </w:tc>
        <w:tc>
          <w:tcPr>
            <w:tcW w:w="1265" w:type="dxa"/>
            <w:tcBorders>
              <w:left w:val="single" w:color="000000" w:sz="4" w:space="0"/>
            </w:tcBorders>
          </w:tcPr>
          <w:p w14:paraId="1DD6C39F">
            <w:pPr>
              <w:spacing w:line="240" w:lineRule="auto"/>
              <w:rPr>
                <w:color w:val="auto"/>
                <w:highlight w:val="none"/>
              </w:rPr>
            </w:pPr>
          </w:p>
        </w:tc>
        <w:tc>
          <w:tcPr>
            <w:tcW w:w="1912" w:type="dxa"/>
          </w:tcPr>
          <w:p w14:paraId="6C999C92">
            <w:pPr>
              <w:spacing w:line="240" w:lineRule="auto"/>
              <w:rPr>
                <w:color w:val="auto"/>
                <w:highlight w:val="none"/>
              </w:rPr>
            </w:pPr>
          </w:p>
        </w:tc>
        <w:tc>
          <w:tcPr>
            <w:tcW w:w="760" w:type="dxa"/>
          </w:tcPr>
          <w:p w14:paraId="70299A84">
            <w:pPr>
              <w:spacing w:line="240" w:lineRule="auto"/>
              <w:rPr>
                <w:color w:val="auto"/>
                <w:highlight w:val="none"/>
              </w:rPr>
            </w:pPr>
          </w:p>
        </w:tc>
      </w:tr>
      <w:tr w14:paraId="2EA7C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724" w:type="dxa"/>
            <w:tcBorders>
              <w:right w:val="single" w:color="000000" w:sz="4" w:space="0"/>
            </w:tcBorders>
          </w:tcPr>
          <w:p w14:paraId="4DD418E2">
            <w:pPr>
              <w:spacing w:line="240" w:lineRule="auto"/>
              <w:rPr>
                <w:color w:val="auto"/>
                <w:highlight w:val="none"/>
              </w:rPr>
            </w:pPr>
          </w:p>
        </w:tc>
        <w:tc>
          <w:tcPr>
            <w:tcW w:w="1419" w:type="dxa"/>
            <w:tcBorders>
              <w:left w:val="single" w:color="000000" w:sz="4" w:space="0"/>
              <w:right w:val="single" w:color="000000" w:sz="4" w:space="0"/>
            </w:tcBorders>
          </w:tcPr>
          <w:p w14:paraId="189A2E81">
            <w:pPr>
              <w:spacing w:line="240" w:lineRule="auto"/>
              <w:rPr>
                <w:color w:val="auto"/>
                <w:highlight w:val="none"/>
              </w:rPr>
            </w:pPr>
          </w:p>
        </w:tc>
        <w:tc>
          <w:tcPr>
            <w:tcW w:w="1320" w:type="dxa"/>
            <w:gridSpan w:val="2"/>
            <w:tcBorders>
              <w:left w:val="single" w:color="000000" w:sz="4" w:space="0"/>
              <w:right w:val="single" w:color="000000" w:sz="4" w:space="0"/>
            </w:tcBorders>
          </w:tcPr>
          <w:p w14:paraId="368222E0">
            <w:pPr>
              <w:spacing w:line="240" w:lineRule="auto"/>
              <w:rPr>
                <w:color w:val="auto"/>
                <w:highlight w:val="none"/>
              </w:rPr>
            </w:pPr>
          </w:p>
        </w:tc>
        <w:tc>
          <w:tcPr>
            <w:tcW w:w="1181" w:type="dxa"/>
            <w:gridSpan w:val="2"/>
            <w:tcBorders>
              <w:left w:val="single" w:color="000000" w:sz="4" w:space="0"/>
              <w:right w:val="single" w:color="000000" w:sz="4" w:space="0"/>
            </w:tcBorders>
          </w:tcPr>
          <w:p w14:paraId="31FBB594">
            <w:pPr>
              <w:spacing w:line="240" w:lineRule="auto"/>
              <w:rPr>
                <w:color w:val="auto"/>
                <w:highlight w:val="none"/>
              </w:rPr>
            </w:pPr>
          </w:p>
        </w:tc>
        <w:tc>
          <w:tcPr>
            <w:tcW w:w="1265" w:type="dxa"/>
            <w:tcBorders>
              <w:left w:val="single" w:color="000000" w:sz="4" w:space="0"/>
            </w:tcBorders>
          </w:tcPr>
          <w:p w14:paraId="1DB92B01">
            <w:pPr>
              <w:spacing w:line="240" w:lineRule="auto"/>
              <w:rPr>
                <w:color w:val="auto"/>
                <w:highlight w:val="none"/>
              </w:rPr>
            </w:pPr>
          </w:p>
        </w:tc>
        <w:tc>
          <w:tcPr>
            <w:tcW w:w="1912" w:type="dxa"/>
          </w:tcPr>
          <w:p w14:paraId="06A5BC02">
            <w:pPr>
              <w:spacing w:line="240" w:lineRule="auto"/>
              <w:rPr>
                <w:color w:val="auto"/>
                <w:highlight w:val="none"/>
              </w:rPr>
            </w:pPr>
          </w:p>
        </w:tc>
        <w:tc>
          <w:tcPr>
            <w:tcW w:w="760" w:type="dxa"/>
          </w:tcPr>
          <w:p w14:paraId="58EF425A">
            <w:pPr>
              <w:spacing w:line="240" w:lineRule="auto"/>
              <w:rPr>
                <w:color w:val="auto"/>
                <w:highlight w:val="none"/>
              </w:rPr>
            </w:pPr>
          </w:p>
        </w:tc>
      </w:tr>
      <w:tr w14:paraId="531C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24" w:type="dxa"/>
            <w:tcBorders>
              <w:right w:val="single" w:color="000000" w:sz="4" w:space="0"/>
            </w:tcBorders>
          </w:tcPr>
          <w:p w14:paraId="58C97A76">
            <w:pPr>
              <w:spacing w:line="240" w:lineRule="auto"/>
              <w:rPr>
                <w:color w:val="auto"/>
                <w:highlight w:val="none"/>
              </w:rPr>
            </w:pPr>
          </w:p>
        </w:tc>
        <w:tc>
          <w:tcPr>
            <w:tcW w:w="1419" w:type="dxa"/>
            <w:tcBorders>
              <w:left w:val="single" w:color="000000" w:sz="4" w:space="0"/>
              <w:right w:val="single" w:color="000000" w:sz="4" w:space="0"/>
            </w:tcBorders>
          </w:tcPr>
          <w:p w14:paraId="66E88DBC">
            <w:pPr>
              <w:spacing w:line="240" w:lineRule="auto"/>
              <w:rPr>
                <w:color w:val="auto"/>
                <w:highlight w:val="none"/>
              </w:rPr>
            </w:pPr>
          </w:p>
        </w:tc>
        <w:tc>
          <w:tcPr>
            <w:tcW w:w="1320" w:type="dxa"/>
            <w:gridSpan w:val="2"/>
            <w:tcBorders>
              <w:left w:val="single" w:color="000000" w:sz="4" w:space="0"/>
              <w:right w:val="single" w:color="000000" w:sz="4" w:space="0"/>
            </w:tcBorders>
          </w:tcPr>
          <w:p w14:paraId="6D10EDE9">
            <w:pPr>
              <w:spacing w:line="240" w:lineRule="auto"/>
              <w:rPr>
                <w:color w:val="auto"/>
                <w:highlight w:val="none"/>
              </w:rPr>
            </w:pPr>
          </w:p>
        </w:tc>
        <w:tc>
          <w:tcPr>
            <w:tcW w:w="1181" w:type="dxa"/>
            <w:gridSpan w:val="2"/>
            <w:tcBorders>
              <w:left w:val="single" w:color="000000" w:sz="4" w:space="0"/>
              <w:right w:val="single" w:color="000000" w:sz="4" w:space="0"/>
            </w:tcBorders>
          </w:tcPr>
          <w:p w14:paraId="3090DEB8">
            <w:pPr>
              <w:spacing w:line="240" w:lineRule="auto"/>
              <w:rPr>
                <w:color w:val="auto"/>
                <w:highlight w:val="none"/>
              </w:rPr>
            </w:pPr>
          </w:p>
        </w:tc>
        <w:tc>
          <w:tcPr>
            <w:tcW w:w="1265" w:type="dxa"/>
            <w:tcBorders>
              <w:left w:val="single" w:color="000000" w:sz="4" w:space="0"/>
            </w:tcBorders>
          </w:tcPr>
          <w:p w14:paraId="09EF4129">
            <w:pPr>
              <w:spacing w:line="240" w:lineRule="auto"/>
              <w:rPr>
                <w:color w:val="auto"/>
                <w:highlight w:val="none"/>
              </w:rPr>
            </w:pPr>
          </w:p>
        </w:tc>
        <w:tc>
          <w:tcPr>
            <w:tcW w:w="1912" w:type="dxa"/>
          </w:tcPr>
          <w:p w14:paraId="0FCF7E63">
            <w:pPr>
              <w:spacing w:line="240" w:lineRule="auto"/>
              <w:rPr>
                <w:color w:val="auto"/>
                <w:highlight w:val="none"/>
              </w:rPr>
            </w:pPr>
          </w:p>
        </w:tc>
        <w:tc>
          <w:tcPr>
            <w:tcW w:w="760" w:type="dxa"/>
          </w:tcPr>
          <w:p w14:paraId="2DE0AAA6">
            <w:pPr>
              <w:spacing w:line="240" w:lineRule="auto"/>
              <w:rPr>
                <w:color w:val="auto"/>
                <w:highlight w:val="none"/>
              </w:rPr>
            </w:pPr>
          </w:p>
        </w:tc>
      </w:tr>
    </w:tbl>
    <w:p w14:paraId="67AAF81F">
      <w:pPr>
        <w:spacing w:line="240" w:lineRule="auto"/>
        <w:rPr>
          <w:color w:val="auto"/>
          <w:highlight w:val="none"/>
        </w:rPr>
      </w:pPr>
    </w:p>
    <w:p w14:paraId="0522981B">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注：以上业绩需提供有关书面证明材料。</w:t>
      </w:r>
    </w:p>
    <w:p w14:paraId="5553A3AF">
      <w:pPr>
        <w:spacing w:line="240" w:lineRule="auto"/>
        <w:rPr>
          <w:color w:val="auto"/>
          <w:sz w:val="24"/>
          <w:szCs w:val="24"/>
          <w:highlight w:val="none"/>
        </w:rPr>
      </w:pPr>
    </w:p>
    <w:p w14:paraId="217ABCFD">
      <w:pPr>
        <w:spacing w:line="240" w:lineRule="auto"/>
        <w:rPr>
          <w:color w:val="auto"/>
          <w:sz w:val="24"/>
          <w:szCs w:val="24"/>
          <w:highlight w:val="none"/>
        </w:rPr>
      </w:pPr>
    </w:p>
    <w:p w14:paraId="695A1A7B">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942CA92">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7C565E33">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B407B2">
      <w:pPr>
        <w:spacing w:line="240" w:lineRule="auto"/>
        <w:rPr>
          <w:color w:val="auto"/>
          <w:highlight w:val="none"/>
        </w:rPr>
        <w:sectPr>
          <w:headerReference r:id="rId30" w:type="default"/>
          <w:footerReference r:id="rId31" w:type="default"/>
          <w:type w:val="continuous"/>
          <w:pgSz w:w="11905" w:h="16838"/>
          <w:pgMar w:top="1417" w:right="1417" w:bottom="1417" w:left="1417" w:header="0" w:footer="1134" w:gutter="0"/>
          <w:pgNumType w:fmt="decimal"/>
          <w:cols w:space="0" w:num="1"/>
        </w:sectPr>
      </w:pPr>
    </w:p>
    <w:p w14:paraId="1B3D760F">
      <w:pPr>
        <w:spacing w:before="3" w:line="240" w:lineRule="auto"/>
        <w:ind w:right="13"/>
        <w:jc w:val="center"/>
        <w:outlineLvl w:val="9"/>
        <w:rPr>
          <w:rFonts w:ascii="宋体" w:hAnsi="宋体" w:eastAsia="宋体" w:cs="宋体"/>
          <w:b/>
          <w:bCs/>
          <w:color w:val="auto"/>
          <w:sz w:val="32"/>
          <w:szCs w:val="32"/>
          <w:highlight w:val="none"/>
        </w:rPr>
      </w:pPr>
      <w:bookmarkStart w:id="144" w:name="_Toc18877"/>
      <w:bookmarkStart w:id="145" w:name="_Toc5419"/>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、技术</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应答表</w:t>
      </w:r>
      <w:bookmarkEnd w:id="144"/>
      <w:bookmarkEnd w:id="145"/>
    </w:p>
    <w:p w14:paraId="0CF66AB5">
      <w:pPr>
        <w:spacing w:line="240" w:lineRule="auto"/>
        <w:rPr>
          <w:color w:val="auto"/>
          <w:highlight w:val="none"/>
        </w:rPr>
      </w:pPr>
    </w:p>
    <w:tbl>
      <w:tblPr>
        <w:tblStyle w:val="23"/>
        <w:tblpPr w:leftFromText="180" w:rightFromText="180" w:vertAnchor="text" w:horzAnchor="page" w:tblpX="1411" w:tblpY="258"/>
        <w:tblOverlap w:val="never"/>
        <w:tblW w:w="86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14:paraId="464A4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7A2DBE8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14:paraId="1DD0A83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14:paraId="13C88BFF">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14:paraId="2ED42CB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14:paraId="442C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2BE28EA">
            <w:pPr>
              <w:spacing w:line="240" w:lineRule="auto"/>
              <w:rPr>
                <w:color w:val="auto"/>
                <w:sz w:val="24"/>
                <w:szCs w:val="24"/>
                <w:highlight w:val="none"/>
              </w:rPr>
            </w:pPr>
          </w:p>
        </w:tc>
        <w:tc>
          <w:tcPr>
            <w:tcW w:w="2049" w:type="dxa"/>
          </w:tcPr>
          <w:p w14:paraId="4A374E91">
            <w:pPr>
              <w:spacing w:line="240" w:lineRule="auto"/>
              <w:rPr>
                <w:color w:val="auto"/>
                <w:sz w:val="24"/>
                <w:szCs w:val="24"/>
                <w:highlight w:val="none"/>
              </w:rPr>
            </w:pPr>
          </w:p>
        </w:tc>
        <w:tc>
          <w:tcPr>
            <w:tcW w:w="2859" w:type="dxa"/>
          </w:tcPr>
          <w:p w14:paraId="21C01CD3">
            <w:pPr>
              <w:spacing w:line="240" w:lineRule="auto"/>
              <w:rPr>
                <w:color w:val="auto"/>
                <w:sz w:val="24"/>
                <w:szCs w:val="24"/>
                <w:highlight w:val="none"/>
              </w:rPr>
            </w:pPr>
          </w:p>
        </w:tc>
        <w:tc>
          <w:tcPr>
            <w:tcW w:w="2979" w:type="dxa"/>
          </w:tcPr>
          <w:p w14:paraId="3FF9DFBB">
            <w:pPr>
              <w:spacing w:line="240" w:lineRule="auto"/>
              <w:rPr>
                <w:color w:val="auto"/>
                <w:sz w:val="24"/>
                <w:szCs w:val="24"/>
                <w:highlight w:val="none"/>
              </w:rPr>
            </w:pPr>
          </w:p>
        </w:tc>
      </w:tr>
      <w:tr w14:paraId="5671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023F9B7E">
            <w:pPr>
              <w:spacing w:line="240" w:lineRule="auto"/>
              <w:rPr>
                <w:color w:val="auto"/>
                <w:sz w:val="24"/>
                <w:szCs w:val="24"/>
                <w:highlight w:val="none"/>
              </w:rPr>
            </w:pPr>
          </w:p>
        </w:tc>
        <w:tc>
          <w:tcPr>
            <w:tcW w:w="2049" w:type="dxa"/>
          </w:tcPr>
          <w:p w14:paraId="1F7EFFE8">
            <w:pPr>
              <w:spacing w:line="240" w:lineRule="auto"/>
              <w:rPr>
                <w:color w:val="auto"/>
                <w:sz w:val="24"/>
                <w:szCs w:val="24"/>
                <w:highlight w:val="none"/>
              </w:rPr>
            </w:pPr>
          </w:p>
        </w:tc>
        <w:tc>
          <w:tcPr>
            <w:tcW w:w="2859" w:type="dxa"/>
          </w:tcPr>
          <w:p w14:paraId="1F8F7487">
            <w:pPr>
              <w:spacing w:line="240" w:lineRule="auto"/>
              <w:rPr>
                <w:color w:val="auto"/>
                <w:sz w:val="24"/>
                <w:szCs w:val="24"/>
                <w:highlight w:val="none"/>
              </w:rPr>
            </w:pPr>
          </w:p>
        </w:tc>
        <w:tc>
          <w:tcPr>
            <w:tcW w:w="2979" w:type="dxa"/>
          </w:tcPr>
          <w:p w14:paraId="4AB63E50">
            <w:pPr>
              <w:spacing w:line="240" w:lineRule="auto"/>
              <w:rPr>
                <w:color w:val="auto"/>
                <w:sz w:val="24"/>
                <w:szCs w:val="24"/>
                <w:highlight w:val="none"/>
              </w:rPr>
            </w:pPr>
          </w:p>
        </w:tc>
      </w:tr>
      <w:tr w14:paraId="724D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63666671">
            <w:pPr>
              <w:spacing w:line="240" w:lineRule="auto"/>
              <w:rPr>
                <w:color w:val="auto"/>
                <w:sz w:val="24"/>
                <w:szCs w:val="24"/>
                <w:highlight w:val="none"/>
              </w:rPr>
            </w:pPr>
          </w:p>
        </w:tc>
        <w:tc>
          <w:tcPr>
            <w:tcW w:w="2049" w:type="dxa"/>
          </w:tcPr>
          <w:p w14:paraId="2C29863A">
            <w:pPr>
              <w:spacing w:line="240" w:lineRule="auto"/>
              <w:rPr>
                <w:color w:val="auto"/>
                <w:sz w:val="24"/>
                <w:szCs w:val="24"/>
                <w:highlight w:val="none"/>
              </w:rPr>
            </w:pPr>
          </w:p>
        </w:tc>
        <w:tc>
          <w:tcPr>
            <w:tcW w:w="2859" w:type="dxa"/>
          </w:tcPr>
          <w:p w14:paraId="32D7302F">
            <w:pPr>
              <w:spacing w:line="240" w:lineRule="auto"/>
              <w:rPr>
                <w:color w:val="auto"/>
                <w:sz w:val="24"/>
                <w:szCs w:val="24"/>
                <w:highlight w:val="none"/>
              </w:rPr>
            </w:pPr>
          </w:p>
        </w:tc>
        <w:tc>
          <w:tcPr>
            <w:tcW w:w="2979" w:type="dxa"/>
          </w:tcPr>
          <w:p w14:paraId="223AE72C">
            <w:pPr>
              <w:spacing w:line="240" w:lineRule="auto"/>
              <w:rPr>
                <w:color w:val="auto"/>
                <w:sz w:val="24"/>
                <w:szCs w:val="24"/>
                <w:highlight w:val="none"/>
              </w:rPr>
            </w:pPr>
          </w:p>
        </w:tc>
      </w:tr>
      <w:tr w14:paraId="018D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05F50F7F">
            <w:pPr>
              <w:spacing w:line="240" w:lineRule="auto"/>
              <w:rPr>
                <w:color w:val="auto"/>
                <w:sz w:val="24"/>
                <w:szCs w:val="24"/>
                <w:highlight w:val="none"/>
              </w:rPr>
            </w:pPr>
          </w:p>
        </w:tc>
        <w:tc>
          <w:tcPr>
            <w:tcW w:w="2049" w:type="dxa"/>
          </w:tcPr>
          <w:p w14:paraId="0CA0D862">
            <w:pPr>
              <w:spacing w:line="240" w:lineRule="auto"/>
              <w:rPr>
                <w:color w:val="auto"/>
                <w:sz w:val="24"/>
                <w:szCs w:val="24"/>
                <w:highlight w:val="none"/>
              </w:rPr>
            </w:pPr>
          </w:p>
        </w:tc>
        <w:tc>
          <w:tcPr>
            <w:tcW w:w="2859" w:type="dxa"/>
          </w:tcPr>
          <w:p w14:paraId="5A6AF31B">
            <w:pPr>
              <w:spacing w:line="240" w:lineRule="auto"/>
              <w:rPr>
                <w:color w:val="auto"/>
                <w:sz w:val="24"/>
                <w:szCs w:val="24"/>
                <w:highlight w:val="none"/>
              </w:rPr>
            </w:pPr>
          </w:p>
        </w:tc>
        <w:tc>
          <w:tcPr>
            <w:tcW w:w="2979" w:type="dxa"/>
          </w:tcPr>
          <w:p w14:paraId="37667476">
            <w:pPr>
              <w:spacing w:line="240" w:lineRule="auto"/>
              <w:rPr>
                <w:color w:val="auto"/>
                <w:sz w:val="24"/>
                <w:szCs w:val="24"/>
                <w:highlight w:val="none"/>
              </w:rPr>
            </w:pPr>
          </w:p>
        </w:tc>
      </w:tr>
      <w:tr w14:paraId="7E79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4BE40CFD">
            <w:pPr>
              <w:spacing w:line="240" w:lineRule="auto"/>
              <w:rPr>
                <w:color w:val="auto"/>
                <w:sz w:val="24"/>
                <w:szCs w:val="24"/>
                <w:highlight w:val="none"/>
              </w:rPr>
            </w:pPr>
          </w:p>
        </w:tc>
        <w:tc>
          <w:tcPr>
            <w:tcW w:w="2049" w:type="dxa"/>
          </w:tcPr>
          <w:p w14:paraId="575E42BD">
            <w:pPr>
              <w:spacing w:line="240" w:lineRule="auto"/>
              <w:rPr>
                <w:color w:val="auto"/>
                <w:sz w:val="24"/>
                <w:szCs w:val="24"/>
                <w:highlight w:val="none"/>
              </w:rPr>
            </w:pPr>
          </w:p>
        </w:tc>
        <w:tc>
          <w:tcPr>
            <w:tcW w:w="2859" w:type="dxa"/>
          </w:tcPr>
          <w:p w14:paraId="6A58D5E8">
            <w:pPr>
              <w:spacing w:line="240" w:lineRule="auto"/>
              <w:rPr>
                <w:color w:val="auto"/>
                <w:sz w:val="24"/>
                <w:szCs w:val="24"/>
                <w:highlight w:val="none"/>
              </w:rPr>
            </w:pPr>
          </w:p>
        </w:tc>
        <w:tc>
          <w:tcPr>
            <w:tcW w:w="2979" w:type="dxa"/>
          </w:tcPr>
          <w:p w14:paraId="0EBCABA4">
            <w:pPr>
              <w:spacing w:line="240" w:lineRule="auto"/>
              <w:rPr>
                <w:color w:val="auto"/>
                <w:sz w:val="24"/>
                <w:szCs w:val="24"/>
                <w:highlight w:val="none"/>
              </w:rPr>
            </w:pPr>
          </w:p>
        </w:tc>
      </w:tr>
      <w:tr w14:paraId="7B5F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440DE2BF">
            <w:pPr>
              <w:spacing w:line="240" w:lineRule="auto"/>
              <w:rPr>
                <w:color w:val="auto"/>
                <w:sz w:val="24"/>
                <w:szCs w:val="24"/>
                <w:highlight w:val="none"/>
              </w:rPr>
            </w:pPr>
          </w:p>
        </w:tc>
        <w:tc>
          <w:tcPr>
            <w:tcW w:w="2049" w:type="dxa"/>
          </w:tcPr>
          <w:p w14:paraId="554F7949">
            <w:pPr>
              <w:spacing w:line="240" w:lineRule="auto"/>
              <w:rPr>
                <w:color w:val="auto"/>
                <w:sz w:val="24"/>
                <w:szCs w:val="24"/>
                <w:highlight w:val="none"/>
              </w:rPr>
            </w:pPr>
          </w:p>
        </w:tc>
        <w:tc>
          <w:tcPr>
            <w:tcW w:w="2859" w:type="dxa"/>
          </w:tcPr>
          <w:p w14:paraId="6B0D1FAD">
            <w:pPr>
              <w:spacing w:line="240" w:lineRule="auto"/>
              <w:rPr>
                <w:color w:val="auto"/>
                <w:sz w:val="24"/>
                <w:szCs w:val="24"/>
                <w:highlight w:val="none"/>
              </w:rPr>
            </w:pPr>
          </w:p>
        </w:tc>
        <w:tc>
          <w:tcPr>
            <w:tcW w:w="2979" w:type="dxa"/>
          </w:tcPr>
          <w:p w14:paraId="1F78547B">
            <w:pPr>
              <w:spacing w:line="240" w:lineRule="auto"/>
              <w:rPr>
                <w:color w:val="auto"/>
                <w:sz w:val="24"/>
                <w:szCs w:val="24"/>
                <w:highlight w:val="none"/>
              </w:rPr>
            </w:pPr>
          </w:p>
        </w:tc>
      </w:tr>
      <w:tr w14:paraId="7C3D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6D8594C7">
            <w:pPr>
              <w:spacing w:line="240" w:lineRule="auto"/>
              <w:rPr>
                <w:color w:val="auto"/>
                <w:sz w:val="24"/>
                <w:szCs w:val="24"/>
                <w:highlight w:val="none"/>
              </w:rPr>
            </w:pPr>
          </w:p>
        </w:tc>
        <w:tc>
          <w:tcPr>
            <w:tcW w:w="2049" w:type="dxa"/>
          </w:tcPr>
          <w:p w14:paraId="660F04E2">
            <w:pPr>
              <w:spacing w:line="240" w:lineRule="auto"/>
              <w:rPr>
                <w:color w:val="auto"/>
                <w:sz w:val="24"/>
                <w:szCs w:val="24"/>
                <w:highlight w:val="none"/>
              </w:rPr>
            </w:pPr>
          </w:p>
        </w:tc>
        <w:tc>
          <w:tcPr>
            <w:tcW w:w="2859" w:type="dxa"/>
          </w:tcPr>
          <w:p w14:paraId="66A3CEF7">
            <w:pPr>
              <w:spacing w:line="240" w:lineRule="auto"/>
              <w:rPr>
                <w:color w:val="auto"/>
                <w:sz w:val="24"/>
                <w:szCs w:val="24"/>
                <w:highlight w:val="none"/>
              </w:rPr>
            </w:pPr>
          </w:p>
        </w:tc>
        <w:tc>
          <w:tcPr>
            <w:tcW w:w="2979" w:type="dxa"/>
          </w:tcPr>
          <w:p w14:paraId="290236D2">
            <w:pPr>
              <w:spacing w:line="240" w:lineRule="auto"/>
              <w:rPr>
                <w:color w:val="auto"/>
                <w:sz w:val="24"/>
                <w:szCs w:val="24"/>
                <w:highlight w:val="none"/>
              </w:rPr>
            </w:pPr>
          </w:p>
        </w:tc>
      </w:tr>
    </w:tbl>
    <w:p w14:paraId="448FB3BC">
      <w:pPr>
        <w:spacing w:before="75" w:line="240" w:lineRule="auto"/>
        <w:ind w:left="64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
          <w:sz w:val="24"/>
          <w:szCs w:val="24"/>
          <w:highlight w:val="none"/>
        </w:rPr>
        <w:t>招标编号：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508D5A">
      <w:pPr>
        <w:spacing w:line="240" w:lineRule="auto"/>
        <w:ind w:right="13"/>
        <w:rPr>
          <w:rFonts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注：供应商的投标应答如和第六章除商务要求以外的部分没有偏离可以不予填写（视为完全响应），如有任何正负偏离请于明确此表格。</w:t>
      </w:r>
    </w:p>
    <w:p w14:paraId="7802A650">
      <w:pPr>
        <w:spacing w:line="240" w:lineRule="auto"/>
        <w:rPr>
          <w:color w:val="auto"/>
          <w:sz w:val="24"/>
          <w:szCs w:val="24"/>
          <w:highlight w:val="none"/>
        </w:rPr>
      </w:pPr>
    </w:p>
    <w:p w14:paraId="097FC898">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5587F7BA">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C05A8C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722D7B3">
      <w:pPr>
        <w:spacing w:line="240" w:lineRule="auto"/>
        <w:rPr>
          <w:color w:val="auto"/>
          <w:highlight w:val="none"/>
        </w:rPr>
        <w:sectPr>
          <w:headerReference r:id="rId32" w:type="default"/>
          <w:footerReference r:id="rId33" w:type="default"/>
          <w:pgSz w:w="11905" w:h="16838"/>
          <w:pgMar w:top="1417" w:right="1417" w:bottom="1417" w:left="1417" w:header="0" w:footer="1134" w:gutter="0"/>
          <w:pgNumType w:fmt="decimal"/>
          <w:cols w:space="0" w:num="1"/>
        </w:sectPr>
      </w:pPr>
    </w:p>
    <w:p w14:paraId="59206B13">
      <w:pPr>
        <w:spacing w:before="3" w:line="240" w:lineRule="auto"/>
        <w:ind w:right="13"/>
        <w:jc w:val="center"/>
        <w:outlineLvl w:val="9"/>
        <w:rPr>
          <w:rFonts w:ascii="宋体" w:hAnsi="宋体" w:eastAsia="宋体" w:cs="宋体"/>
          <w:b/>
          <w:bCs/>
          <w:color w:val="auto"/>
          <w:sz w:val="32"/>
          <w:szCs w:val="32"/>
          <w:highlight w:val="none"/>
        </w:rPr>
      </w:pPr>
      <w:bookmarkStart w:id="146" w:name="_Toc16062"/>
      <w:bookmarkStart w:id="147" w:name="_Toc884"/>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、投标人本项目管理、技术、服务人员情况表</w:t>
      </w:r>
      <w:bookmarkEnd w:id="146"/>
      <w:bookmarkEnd w:id="147"/>
    </w:p>
    <w:p w14:paraId="7F8A57D0">
      <w:pPr>
        <w:spacing w:line="240" w:lineRule="auto"/>
        <w:rPr>
          <w:color w:val="auto"/>
          <w:highlight w:val="none"/>
        </w:rPr>
      </w:pPr>
    </w:p>
    <w:p w14:paraId="2D85AB67">
      <w:pPr>
        <w:spacing w:before="75" w:line="240" w:lineRule="auto"/>
        <w:ind w:firstLine="456" w:firstLineChars="200"/>
        <w:rPr>
          <w:rFonts w:ascii="宋体" w:hAnsi="宋体" w:eastAsia="宋体" w:cs="宋体"/>
          <w:color w:val="auto"/>
          <w:sz w:val="23"/>
          <w:szCs w:val="23"/>
          <w:highlight w:val="none"/>
        </w:rPr>
      </w:pPr>
      <w:r>
        <w:rPr>
          <w:rFonts w:ascii="宋体" w:hAnsi="宋体" w:eastAsia="宋体" w:cs="宋体"/>
          <w:color w:val="auto"/>
          <w:spacing w:val="-6"/>
          <w:sz w:val="24"/>
          <w:szCs w:val="24"/>
          <w:highlight w:val="none"/>
        </w:rPr>
        <w:t>项目名称</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招标编号：</w:t>
      </w:r>
      <w:r>
        <w:rPr>
          <w:rFonts w:ascii="宋体" w:hAnsi="宋体" w:eastAsia="宋体" w:cs="宋体"/>
          <w:color w:val="auto"/>
          <w:sz w:val="24"/>
          <w:szCs w:val="24"/>
          <w:highlight w:val="none"/>
          <w:u w:val="single"/>
        </w:rPr>
        <w:t xml:space="preserve">              </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t xml:space="preserve">  </w:t>
      </w:r>
    </w:p>
    <w:tbl>
      <w:tblPr>
        <w:tblStyle w:val="23"/>
        <w:tblW w:w="7576"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806"/>
        <w:gridCol w:w="807"/>
        <w:gridCol w:w="807"/>
        <w:gridCol w:w="807"/>
        <w:gridCol w:w="850"/>
        <w:gridCol w:w="959"/>
        <w:gridCol w:w="846"/>
        <w:gridCol w:w="736"/>
      </w:tblGrid>
      <w:tr w14:paraId="4EBD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restart"/>
            <w:tcBorders>
              <w:bottom w:val="nil"/>
            </w:tcBorders>
          </w:tcPr>
          <w:p w14:paraId="216AE9EB">
            <w:pPr>
              <w:spacing w:line="240" w:lineRule="auto"/>
              <w:rPr>
                <w:color w:val="auto"/>
                <w:sz w:val="24"/>
                <w:szCs w:val="24"/>
                <w:highlight w:val="none"/>
              </w:rPr>
            </w:pPr>
          </w:p>
          <w:p w14:paraId="02342C95">
            <w:pPr>
              <w:spacing w:before="75" w:line="240" w:lineRule="auto"/>
              <w:ind w:left="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类别</w:t>
            </w:r>
          </w:p>
        </w:tc>
        <w:tc>
          <w:tcPr>
            <w:tcW w:w="806" w:type="dxa"/>
            <w:vMerge w:val="restart"/>
            <w:tcBorders>
              <w:bottom w:val="nil"/>
            </w:tcBorders>
          </w:tcPr>
          <w:p w14:paraId="5CD36FCB">
            <w:pPr>
              <w:spacing w:line="240" w:lineRule="auto"/>
              <w:rPr>
                <w:color w:val="auto"/>
                <w:sz w:val="24"/>
                <w:szCs w:val="24"/>
                <w:highlight w:val="none"/>
              </w:rPr>
            </w:pPr>
          </w:p>
          <w:p w14:paraId="6DE44177">
            <w:pPr>
              <w:spacing w:before="75" w:line="240" w:lineRule="auto"/>
              <w:ind w:left="11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务</w:t>
            </w:r>
          </w:p>
        </w:tc>
        <w:tc>
          <w:tcPr>
            <w:tcW w:w="807" w:type="dxa"/>
            <w:vMerge w:val="restart"/>
            <w:tcBorders>
              <w:bottom w:val="nil"/>
            </w:tcBorders>
          </w:tcPr>
          <w:p w14:paraId="42313DFA">
            <w:pPr>
              <w:spacing w:line="240" w:lineRule="auto"/>
              <w:rPr>
                <w:color w:val="auto"/>
                <w:sz w:val="24"/>
                <w:szCs w:val="24"/>
                <w:highlight w:val="none"/>
              </w:rPr>
            </w:pPr>
          </w:p>
          <w:p w14:paraId="0D35696C">
            <w:pPr>
              <w:spacing w:before="75" w:line="240" w:lineRule="auto"/>
              <w:ind w:left="1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p>
        </w:tc>
        <w:tc>
          <w:tcPr>
            <w:tcW w:w="807" w:type="dxa"/>
            <w:vMerge w:val="restart"/>
            <w:tcBorders>
              <w:bottom w:val="nil"/>
            </w:tcBorders>
          </w:tcPr>
          <w:p w14:paraId="2AB68D63">
            <w:pPr>
              <w:spacing w:line="240" w:lineRule="auto"/>
              <w:rPr>
                <w:color w:val="auto"/>
                <w:sz w:val="24"/>
                <w:szCs w:val="24"/>
                <w:highlight w:val="none"/>
              </w:rPr>
            </w:pPr>
          </w:p>
          <w:p w14:paraId="07525CEB">
            <w:pPr>
              <w:spacing w:before="74" w:line="240" w:lineRule="auto"/>
              <w:ind w:left="1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称</w:t>
            </w:r>
          </w:p>
        </w:tc>
        <w:tc>
          <w:tcPr>
            <w:tcW w:w="807" w:type="dxa"/>
            <w:vMerge w:val="restart"/>
            <w:tcBorders>
              <w:bottom w:val="nil"/>
            </w:tcBorders>
          </w:tcPr>
          <w:p w14:paraId="23999E54">
            <w:pPr>
              <w:spacing w:line="240" w:lineRule="auto"/>
              <w:rPr>
                <w:color w:val="auto"/>
                <w:sz w:val="24"/>
                <w:szCs w:val="24"/>
                <w:highlight w:val="none"/>
              </w:rPr>
            </w:pPr>
          </w:p>
          <w:p w14:paraId="7DD6B151">
            <w:pPr>
              <w:spacing w:before="75" w:line="240" w:lineRule="auto"/>
              <w:ind w:left="119"/>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常住</w:t>
            </w:r>
          </w:p>
          <w:p w14:paraId="48F27994">
            <w:pPr>
              <w:spacing w:line="240" w:lineRule="auto"/>
              <w:ind w:left="113"/>
              <w:rPr>
                <w:rFonts w:ascii="宋体" w:hAnsi="宋体" w:eastAsia="宋体" w:cs="宋体"/>
                <w:color w:val="auto"/>
                <w:sz w:val="24"/>
                <w:szCs w:val="24"/>
                <w:highlight w:val="none"/>
              </w:rPr>
            </w:pPr>
            <w:r>
              <w:rPr>
                <w:rFonts w:ascii="宋体" w:hAnsi="宋体" w:eastAsia="宋体" w:cs="宋体"/>
                <w:color w:val="auto"/>
                <w:sz w:val="24"/>
                <w:szCs w:val="24"/>
                <w:highlight w:val="none"/>
              </w:rPr>
              <w:t>地</w:t>
            </w:r>
          </w:p>
        </w:tc>
        <w:tc>
          <w:tcPr>
            <w:tcW w:w="3391" w:type="dxa"/>
            <w:gridSpan w:val="4"/>
          </w:tcPr>
          <w:p w14:paraId="7818E85D">
            <w:pPr>
              <w:spacing w:before="175" w:line="240" w:lineRule="auto"/>
              <w:ind w:left="59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格证明 (附复印件)</w:t>
            </w:r>
          </w:p>
        </w:tc>
      </w:tr>
      <w:tr w14:paraId="1B87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8" w:type="dxa"/>
            <w:vMerge w:val="continue"/>
            <w:tcBorders>
              <w:top w:val="nil"/>
            </w:tcBorders>
          </w:tcPr>
          <w:p w14:paraId="57DB2925">
            <w:pPr>
              <w:spacing w:line="240" w:lineRule="auto"/>
              <w:rPr>
                <w:color w:val="auto"/>
                <w:sz w:val="24"/>
                <w:szCs w:val="24"/>
                <w:highlight w:val="none"/>
              </w:rPr>
            </w:pPr>
          </w:p>
        </w:tc>
        <w:tc>
          <w:tcPr>
            <w:tcW w:w="806" w:type="dxa"/>
            <w:vMerge w:val="continue"/>
            <w:tcBorders>
              <w:top w:val="nil"/>
            </w:tcBorders>
          </w:tcPr>
          <w:p w14:paraId="20D692A2">
            <w:pPr>
              <w:spacing w:line="240" w:lineRule="auto"/>
              <w:rPr>
                <w:color w:val="auto"/>
                <w:sz w:val="24"/>
                <w:szCs w:val="24"/>
                <w:highlight w:val="none"/>
              </w:rPr>
            </w:pPr>
          </w:p>
        </w:tc>
        <w:tc>
          <w:tcPr>
            <w:tcW w:w="807" w:type="dxa"/>
            <w:vMerge w:val="continue"/>
            <w:tcBorders>
              <w:top w:val="nil"/>
            </w:tcBorders>
          </w:tcPr>
          <w:p w14:paraId="456B47C9">
            <w:pPr>
              <w:spacing w:line="240" w:lineRule="auto"/>
              <w:rPr>
                <w:color w:val="auto"/>
                <w:sz w:val="24"/>
                <w:szCs w:val="24"/>
                <w:highlight w:val="none"/>
              </w:rPr>
            </w:pPr>
          </w:p>
        </w:tc>
        <w:tc>
          <w:tcPr>
            <w:tcW w:w="807" w:type="dxa"/>
            <w:vMerge w:val="continue"/>
            <w:tcBorders>
              <w:top w:val="nil"/>
            </w:tcBorders>
          </w:tcPr>
          <w:p w14:paraId="195BF9F9">
            <w:pPr>
              <w:spacing w:line="240" w:lineRule="auto"/>
              <w:rPr>
                <w:color w:val="auto"/>
                <w:sz w:val="24"/>
                <w:szCs w:val="24"/>
                <w:highlight w:val="none"/>
              </w:rPr>
            </w:pPr>
          </w:p>
        </w:tc>
        <w:tc>
          <w:tcPr>
            <w:tcW w:w="807" w:type="dxa"/>
            <w:vMerge w:val="continue"/>
            <w:tcBorders>
              <w:top w:val="nil"/>
            </w:tcBorders>
          </w:tcPr>
          <w:p w14:paraId="621E9450">
            <w:pPr>
              <w:spacing w:line="240" w:lineRule="auto"/>
              <w:rPr>
                <w:color w:val="auto"/>
                <w:sz w:val="24"/>
                <w:szCs w:val="24"/>
                <w:highlight w:val="none"/>
              </w:rPr>
            </w:pPr>
          </w:p>
        </w:tc>
        <w:tc>
          <w:tcPr>
            <w:tcW w:w="850" w:type="dxa"/>
          </w:tcPr>
          <w:p w14:paraId="5E479485">
            <w:pPr>
              <w:spacing w:before="85" w:line="240" w:lineRule="auto"/>
              <w:ind w:left="113"/>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证书</w:t>
            </w:r>
          </w:p>
          <w:p w14:paraId="39B114FA">
            <w:pPr>
              <w:spacing w:line="240"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w:t>
            </w:r>
            <w:r>
              <w:rPr>
                <w:rFonts w:ascii="宋体" w:hAnsi="宋体" w:eastAsia="宋体" w:cs="宋体"/>
                <w:color w:val="auto"/>
                <w:spacing w:val="3"/>
                <w:sz w:val="24"/>
                <w:szCs w:val="24"/>
                <w:highlight w:val="none"/>
              </w:rPr>
              <w:t>称</w:t>
            </w:r>
          </w:p>
        </w:tc>
        <w:tc>
          <w:tcPr>
            <w:tcW w:w="959" w:type="dxa"/>
          </w:tcPr>
          <w:p w14:paraId="6E8583A4">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级别</w:t>
            </w:r>
          </w:p>
        </w:tc>
        <w:tc>
          <w:tcPr>
            <w:tcW w:w="846" w:type="dxa"/>
          </w:tcPr>
          <w:p w14:paraId="07D63139">
            <w:pPr>
              <w:spacing w:before="264" w:line="240"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证号</w:t>
            </w:r>
          </w:p>
        </w:tc>
        <w:tc>
          <w:tcPr>
            <w:tcW w:w="736" w:type="dxa"/>
          </w:tcPr>
          <w:p w14:paraId="3921AE61">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专</w:t>
            </w:r>
            <w:r>
              <w:rPr>
                <w:rFonts w:ascii="宋体" w:hAnsi="宋体" w:eastAsia="宋体" w:cs="宋体"/>
                <w:color w:val="auto"/>
                <w:spacing w:val="4"/>
                <w:sz w:val="24"/>
                <w:szCs w:val="24"/>
                <w:highlight w:val="none"/>
              </w:rPr>
              <w:t>业</w:t>
            </w:r>
          </w:p>
        </w:tc>
      </w:tr>
      <w:tr w14:paraId="6C11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77309487">
            <w:pPr>
              <w:spacing w:line="240" w:lineRule="auto"/>
              <w:ind w:left="123"/>
              <w:rPr>
                <w:rFonts w:ascii="宋体" w:hAnsi="宋体" w:eastAsia="宋体" w:cs="宋体"/>
                <w:color w:val="auto"/>
                <w:spacing w:val="2"/>
                <w:position w:val="9"/>
                <w:sz w:val="24"/>
                <w:szCs w:val="24"/>
                <w:highlight w:val="none"/>
              </w:rPr>
            </w:pPr>
          </w:p>
          <w:p w14:paraId="27303AF7">
            <w:pPr>
              <w:spacing w:line="240" w:lineRule="auto"/>
              <w:ind w:left="123"/>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管理</w:t>
            </w:r>
          </w:p>
          <w:p w14:paraId="272BF94D">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6EC6D412">
            <w:pPr>
              <w:spacing w:line="240" w:lineRule="auto"/>
              <w:rPr>
                <w:color w:val="auto"/>
                <w:sz w:val="24"/>
                <w:szCs w:val="24"/>
                <w:highlight w:val="none"/>
              </w:rPr>
            </w:pPr>
          </w:p>
        </w:tc>
        <w:tc>
          <w:tcPr>
            <w:tcW w:w="807" w:type="dxa"/>
          </w:tcPr>
          <w:p w14:paraId="739C1B4E">
            <w:pPr>
              <w:spacing w:line="240" w:lineRule="auto"/>
              <w:rPr>
                <w:color w:val="auto"/>
                <w:sz w:val="24"/>
                <w:szCs w:val="24"/>
                <w:highlight w:val="none"/>
              </w:rPr>
            </w:pPr>
          </w:p>
        </w:tc>
        <w:tc>
          <w:tcPr>
            <w:tcW w:w="807" w:type="dxa"/>
          </w:tcPr>
          <w:p w14:paraId="5CE53544">
            <w:pPr>
              <w:spacing w:line="240" w:lineRule="auto"/>
              <w:rPr>
                <w:color w:val="auto"/>
                <w:sz w:val="24"/>
                <w:szCs w:val="24"/>
                <w:highlight w:val="none"/>
              </w:rPr>
            </w:pPr>
          </w:p>
        </w:tc>
        <w:tc>
          <w:tcPr>
            <w:tcW w:w="807" w:type="dxa"/>
          </w:tcPr>
          <w:p w14:paraId="33317AE9">
            <w:pPr>
              <w:spacing w:line="240" w:lineRule="auto"/>
              <w:rPr>
                <w:color w:val="auto"/>
                <w:sz w:val="24"/>
                <w:szCs w:val="24"/>
                <w:highlight w:val="none"/>
              </w:rPr>
            </w:pPr>
          </w:p>
        </w:tc>
        <w:tc>
          <w:tcPr>
            <w:tcW w:w="850" w:type="dxa"/>
          </w:tcPr>
          <w:p w14:paraId="64A38A07">
            <w:pPr>
              <w:spacing w:line="240" w:lineRule="auto"/>
              <w:rPr>
                <w:color w:val="auto"/>
                <w:sz w:val="24"/>
                <w:szCs w:val="24"/>
                <w:highlight w:val="none"/>
              </w:rPr>
            </w:pPr>
          </w:p>
        </w:tc>
        <w:tc>
          <w:tcPr>
            <w:tcW w:w="959" w:type="dxa"/>
          </w:tcPr>
          <w:p w14:paraId="62118390">
            <w:pPr>
              <w:spacing w:line="240" w:lineRule="auto"/>
              <w:rPr>
                <w:color w:val="auto"/>
                <w:sz w:val="24"/>
                <w:szCs w:val="24"/>
                <w:highlight w:val="none"/>
              </w:rPr>
            </w:pPr>
          </w:p>
        </w:tc>
        <w:tc>
          <w:tcPr>
            <w:tcW w:w="846" w:type="dxa"/>
          </w:tcPr>
          <w:p w14:paraId="193FBE82">
            <w:pPr>
              <w:spacing w:line="240" w:lineRule="auto"/>
              <w:rPr>
                <w:color w:val="auto"/>
                <w:sz w:val="24"/>
                <w:szCs w:val="24"/>
                <w:highlight w:val="none"/>
              </w:rPr>
            </w:pPr>
          </w:p>
        </w:tc>
        <w:tc>
          <w:tcPr>
            <w:tcW w:w="736" w:type="dxa"/>
          </w:tcPr>
          <w:p w14:paraId="3C1D364F">
            <w:pPr>
              <w:spacing w:line="240" w:lineRule="auto"/>
              <w:rPr>
                <w:color w:val="auto"/>
                <w:sz w:val="24"/>
                <w:szCs w:val="24"/>
                <w:highlight w:val="none"/>
              </w:rPr>
            </w:pPr>
          </w:p>
        </w:tc>
      </w:tr>
      <w:tr w14:paraId="3F0B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58" w:type="dxa"/>
            <w:vMerge w:val="continue"/>
            <w:tcBorders>
              <w:top w:val="nil"/>
              <w:bottom w:val="nil"/>
            </w:tcBorders>
          </w:tcPr>
          <w:p w14:paraId="28C64ED4">
            <w:pPr>
              <w:spacing w:line="240" w:lineRule="auto"/>
              <w:rPr>
                <w:color w:val="auto"/>
                <w:sz w:val="24"/>
                <w:szCs w:val="24"/>
                <w:highlight w:val="none"/>
              </w:rPr>
            </w:pPr>
          </w:p>
        </w:tc>
        <w:tc>
          <w:tcPr>
            <w:tcW w:w="806" w:type="dxa"/>
          </w:tcPr>
          <w:p w14:paraId="069625C6">
            <w:pPr>
              <w:spacing w:line="240" w:lineRule="auto"/>
              <w:rPr>
                <w:color w:val="auto"/>
                <w:sz w:val="24"/>
                <w:szCs w:val="24"/>
                <w:highlight w:val="none"/>
              </w:rPr>
            </w:pPr>
          </w:p>
        </w:tc>
        <w:tc>
          <w:tcPr>
            <w:tcW w:w="807" w:type="dxa"/>
          </w:tcPr>
          <w:p w14:paraId="242B4860">
            <w:pPr>
              <w:spacing w:line="240" w:lineRule="auto"/>
              <w:rPr>
                <w:color w:val="auto"/>
                <w:sz w:val="24"/>
                <w:szCs w:val="24"/>
                <w:highlight w:val="none"/>
              </w:rPr>
            </w:pPr>
          </w:p>
        </w:tc>
        <w:tc>
          <w:tcPr>
            <w:tcW w:w="807" w:type="dxa"/>
          </w:tcPr>
          <w:p w14:paraId="5E5173B0">
            <w:pPr>
              <w:spacing w:line="240" w:lineRule="auto"/>
              <w:rPr>
                <w:color w:val="auto"/>
                <w:sz w:val="24"/>
                <w:szCs w:val="24"/>
                <w:highlight w:val="none"/>
              </w:rPr>
            </w:pPr>
          </w:p>
        </w:tc>
        <w:tc>
          <w:tcPr>
            <w:tcW w:w="807" w:type="dxa"/>
          </w:tcPr>
          <w:p w14:paraId="7B8757AA">
            <w:pPr>
              <w:spacing w:line="240" w:lineRule="auto"/>
              <w:rPr>
                <w:color w:val="auto"/>
                <w:sz w:val="24"/>
                <w:szCs w:val="24"/>
                <w:highlight w:val="none"/>
              </w:rPr>
            </w:pPr>
          </w:p>
        </w:tc>
        <w:tc>
          <w:tcPr>
            <w:tcW w:w="850" w:type="dxa"/>
          </w:tcPr>
          <w:p w14:paraId="15902561">
            <w:pPr>
              <w:spacing w:line="240" w:lineRule="auto"/>
              <w:rPr>
                <w:color w:val="auto"/>
                <w:sz w:val="24"/>
                <w:szCs w:val="24"/>
                <w:highlight w:val="none"/>
              </w:rPr>
            </w:pPr>
          </w:p>
        </w:tc>
        <w:tc>
          <w:tcPr>
            <w:tcW w:w="959" w:type="dxa"/>
          </w:tcPr>
          <w:p w14:paraId="18E15AC4">
            <w:pPr>
              <w:spacing w:line="240" w:lineRule="auto"/>
              <w:rPr>
                <w:color w:val="auto"/>
                <w:sz w:val="24"/>
                <w:szCs w:val="24"/>
                <w:highlight w:val="none"/>
              </w:rPr>
            </w:pPr>
          </w:p>
        </w:tc>
        <w:tc>
          <w:tcPr>
            <w:tcW w:w="846" w:type="dxa"/>
          </w:tcPr>
          <w:p w14:paraId="31E56570">
            <w:pPr>
              <w:spacing w:line="240" w:lineRule="auto"/>
              <w:rPr>
                <w:color w:val="auto"/>
                <w:sz w:val="24"/>
                <w:szCs w:val="24"/>
                <w:highlight w:val="none"/>
              </w:rPr>
            </w:pPr>
          </w:p>
        </w:tc>
        <w:tc>
          <w:tcPr>
            <w:tcW w:w="736" w:type="dxa"/>
          </w:tcPr>
          <w:p w14:paraId="47C10FF0">
            <w:pPr>
              <w:spacing w:line="240" w:lineRule="auto"/>
              <w:rPr>
                <w:color w:val="auto"/>
                <w:sz w:val="24"/>
                <w:szCs w:val="24"/>
                <w:highlight w:val="none"/>
              </w:rPr>
            </w:pPr>
          </w:p>
        </w:tc>
      </w:tr>
      <w:tr w14:paraId="7BE7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73C98F87">
            <w:pPr>
              <w:spacing w:line="240" w:lineRule="auto"/>
              <w:rPr>
                <w:color w:val="auto"/>
                <w:sz w:val="24"/>
                <w:szCs w:val="24"/>
                <w:highlight w:val="none"/>
              </w:rPr>
            </w:pPr>
          </w:p>
        </w:tc>
        <w:tc>
          <w:tcPr>
            <w:tcW w:w="806" w:type="dxa"/>
          </w:tcPr>
          <w:p w14:paraId="62C22A68">
            <w:pPr>
              <w:spacing w:line="240" w:lineRule="auto"/>
              <w:rPr>
                <w:color w:val="auto"/>
                <w:sz w:val="24"/>
                <w:szCs w:val="24"/>
                <w:highlight w:val="none"/>
              </w:rPr>
            </w:pPr>
          </w:p>
        </w:tc>
        <w:tc>
          <w:tcPr>
            <w:tcW w:w="807" w:type="dxa"/>
          </w:tcPr>
          <w:p w14:paraId="64375138">
            <w:pPr>
              <w:spacing w:line="240" w:lineRule="auto"/>
              <w:rPr>
                <w:color w:val="auto"/>
                <w:sz w:val="24"/>
                <w:szCs w:val="24"/>
                <w:highlight w:val="none"/>
              </w:rPr>
            </w:pPr>
          </w:p>
        </w:tc>
        <w:tc>
          <w:tcPr>
            <w:tcW w:w="807" w:type="dxa"/>
          </w:tcPr>
          <w:p w14:paraId="2572ACCD">
            <w:pPr>
              <w:spacing w:line="240" w:lineRule="auto"/>
              <w:rPr>
                <w:color w:val="auto"/>
                <w:sz w:val="24"/>
                <w:szCs w:val="24"/>
                <w:highlight w:val="none"/>
              </w:rPr>
            </w:pPr>
          </w:p>
        </w:tc>
        <w:tc>
          <w:tcPr>
            <w:tcW w:w="807" w:type="dxa"/>
          </w:tcPr>
          <w:p w14:paraId="56AED382">
            <w:pPr>
              <w:spacing w:line="240" w:lineRule="auto"/>
              <w:rPr>
                <w:color w:val="auto"/>
                <w:sz w:val="24"/>
                <w:szCs w:val="24"/>
                <w:highlight w:val="none"/>
              </w:rPr>
            </w:pPr>
          </w:p>
        </w:tc>
        <w:tc>
          <w:tcPr>
            <w:tcW w:w="850" w:type="dxa"/>
          </w:tcPr>
          <w:p w14:paraId="157FC02A">
            <w:pPr>
              <w:spacing w:line="240" w:lineRule="auto"/>
              <w:rPr>
                <w:color w:val="auto"/>
                <w:sz w:val="24"/>
                <w:szCs w:val="24"/>
                <w:highlight w:val="none"/>
              </w:rPr>
            </w:pPr>
          </w:p>
        </w:tc>
        <w:tc>
          <w:tcPr>
            <w:tcW w:w="959" w:type="dxa"/>
          </w:tcPr>
          <w:p w14:paraId="6EB7C838">
            <w:pPr>
              <w:spacing w:line="240" w:lineRule="auto"/>
              <w:rPr>
                <w:color w:val="auto"/>
                <w:sz w:val="24"/>
                <w:szCs w:val="24"/>
                <w:highlight w:val="none"/>
              </w:rPr>
            </w:pPr>
          </w:p>
        </w:tc>
        <w:tc>
          <w:tcPr>
            <w:tcW w:w="846" w:type="dxa"/>
          </w:tcPr>
          <w:p w14:paraId="649DA3DD">
            <w:pPr>
              <w:spacing w:line="240" w:lineRule="auto"/>
              <w:rPr>
                <w:color w:val="auto"/>
                <w:sz w:val="24"/>
                <w:szCs w:val="24"/>
                <w:highlight w:val="none"/>
              </w:rPr>
            </w:pPr>
          </w:p>
        </w:tc>
        <w:tc>
          <w:tcPr>
            <w:tcW w:w="736" w:type="dxa"/>
          </w:tcPr>
          <w:p w14:paraId="353ACD2E">
            <w:pPr>
              <w:spacing w:line="240" w:lineRule="auto"/>
              <w:rPr>
                <w:color w:val="auto"/>
                <w:sz w:val="24"/>
                <w:szCs w:val="24"/>
                <w:highlight w:val="none"/>
              </w:rPr>
            </w:pPr>
          </w:p>
        </w:tc>
      </w:tr>
      <w:tr w14:paraId="7B19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restart"/>
            <w:tcBorders>
              <w:bottom w:val="nil"/>
            </w:tcBorders>
          </w:tcPr>
          <w:p w14:paraId="11FFD58A">
            <w:pPr>
              <w:spacing w:line="240" w:lineRule="auto"/>
              <w:ind w:left="118"/>
              <w:rPr>
                <w:rFonts w:ascii="宋体" w:hAnsi="宋体" w:eastAsia="宋体" w:cs="宋体"/>
                <w:color w:val="auto"/>
                <w:spacing w:val="5"/>
                <w:position w:val="9"/>
                <w:sz w:val="24"/>
                <w:szCs w:val="24"/>
                <w:highlight w:val="none"/>
              </w:rPr>
            </w:pPr>
          </w:p>
          <w:p w14:paraId="42A74AF9">
            <w:pPr>
              <w:spacing w:line="240" w:lineRule="auto"/>
              <w:ind w:left="118"/>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技</w:t>
            </w:r>
            <w:r>
              <w:rPr>
                <w:rFonts w:ascii="宋体" w:hAnsi="宋体" w:eastAsia="宋体" w:cs="宋体"/>
                <w:color w:val="auto"/>
                <w:spacing w:val="4"/>
                <w:position w:val="9"/>
                <w:sz w:val="24"/>
                <w:szCs w:val="24"/>
                <w:highlight w:val="none"/>
              </w:rPr>
              <w:t>术</w:t>
            </w:r>
          </w:p>
          <w:p w14:paraId="16D55B94">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1D7216D0">
            <w:pPr>
              <w:spacing w:line="240" w:lineRule="auto"/>
              <w:rPr>
                <w:color w:val="auto"/>
                <w:sz w:val="24"/>
                <w:szCs w:val="24"/>
                <w:highlight w:val="none"/>
              </w:rPr>
            </w:pPr>
          </w:p>
        </w:tc>
        <w:tc>
          <w:tcPr>
            <w:tcW w:w="807" w:type="dxa"/>
          </w:tcPr>
          <w:p w14:paraId="7311831D">
            <w:pPr>
              <w:spacing w:line="240" w:lineRule="auto"/>
              <w:rPr>
                <w:color w:val="auto"/>
                <w:sz w:val="24"/>
                <w:szCs w:val="24"/>
                <w:highlight w:val="none"/>
              </w:rPr>
            </w:pPr>
          </w:p>
        </w:tc>
        <w:tc>
          <w:tcPr>
            <w:tcW w:w="807" w:type="dxa"/>
          </w:tcPr>
          <w:p w14:paraId="4A71EC4C">
            <w:pPr>
              <w:spacing w:line="240" w:lineRule="auto"/>
              <w:rPr>
                <w:color w:val="auto"/>
                <w:sz w:val="24"/>
                <w:szCs w:val="24"/>
                <w:highlight w:val="none"/>
              </w:rPr>
            </w:pPr>
          </w:p>
        </w:tc>
        <w:tc>
          <w:tcPr>
            <w:tcW w:w="807" w:type="dxa"/>
          </w:tcPr>
          <w:p w14:paraId="204150BE">
            <w:pPr>
              <w:spacing w:line="240" w:lineRule="auto"/>
              <w:rPr>
                <w:color w:val="auto"/>
                <w:sz w:val="24"/>
                <w:szCs w:val="24"/>
                <w:highlight w:val="none"/>
              </w:rPr>
            </w:pPr>
          </w:p>
        </w:tc>
        <w:tc>
          <w:tcPr>
            <w:tcW w:w="850" w:type="dxa"/>
          </w:tcPr>
          <w:p w14:paraId="249B96E8">
            <w:pPr>
              <w:spacing w:line="240" w:lineRule="auto"/>
              <w:rPr>
                <w:color w:val="auto"/>
                <w:sz w:val="24"/>
                <w:szCs w:val="24"/>
                <w:highlight w:val="none"/>
              </w:rPr>
            </w:pPr>
          </w:p>
        </w:tc>
        <w:tc>
          <w:tcPr>
            <w:tcW w:w="959" w:type="dxa"/>
          </w:tcPr>
          <w:p w14:paraId="0A89579E">
            <w:pPr>
              <w:spacing w:line="240" w:lineRule="auto"/>
              <w:rPr>
                <w:color w:val="auto"/>
                <w:sz w:val="24"/>
                <w:szCs w:val="24"/>
                <w:highlight w:val="none"/>
              </w:rPr>
            </w:pPr>
          </w:p>
        </w:tc>
        <w:tc>
          <w:tcPr>
            <w:tcW w:w="846" w:type="dxa"/>
          </w:tcPr>
          <w:p w14:paraId="1AA6C11C">
            <w:pPr>
              <w:spacing w:line="240" w:lineRule="auto"/>
              <w:rPr>
                <w:color w:val="auto"/>
                <w:sz w:val="24"/>
                <w:szCs w:val="24"/>
                <w:highlight w:val="none"/>
              </w:rPr>
            </w:pPr>
          </w:p>
        </w:tc>
        <w:tc>
          <w:tcPr>
            <w:tcW w:w="736" w:type="dxa"/>
          </w:tcPr>
          <w:p w14:paraId="462CC937">
            <w:pPr>
              <w:spacing w:line="240" w:lineRule="auto"/>
              <w:rPr>
                <w:color w:val="auto"/>
                <w:sz w:val="24"/>
                <w:szCs w:val="24"/>
                <w:highlight w:val="none"/>
              </w:rPr>
            </w:pPr>
          </w:p>
        </w:tc>
      </w:tr>
      <w:tr w14:paraId="35D1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bottom w:val="nil"/>
            </w:tcBorders>
          </w:tcPr>
          <w:p w14:paraId="385C9768">
            <w:pPr>
              <w:spacing w:line="240" w:lineRule="auto"/>
              <w:rPr>
                <w:color w:val="auto"/>
                <w:sz w:val="24"/>
                <w:szCs w:val="24"/>
                <w:highlight w:val="none"/>
              </w:rPr>
            </w:pPr>
          </w:p>
        </w:tc>
        <w:tc>
          <w:tcPr>
            <w:tcW w:w="806" w:type="dxa"/>
          </w:tcPr>
          <w:p w14:paraId="532BF0CF">
            <w:pPr>
              <w:spacing w:line="240" w:lineRule="auto"/>
              <w:rPr>
                <w:color w:val="auto"/>
                <w:sz w:val="24"/>
                <w:szCs w:val="24"/>
                <w:highlight w:val="none"/>
              </w:rPr>
            </w:pPr>
          </w:p>
        </w:tc>
        <w:tc>
          <w:tcPr>
            <w:tcW w:w="807" w:type="dxa"/>
          </w:tcPr>
          <w:p w14:paraId="675CDFA2">
            <w:pPr>
              <w:spacing w:line="240" w:lineRule="auto"/>
              <w:rPr>
                <w:color w:val="auto"/>
                <w:sz w:val="24"/>
                <w:szCs w:val="24"/>
                <w:highlight w:val="none"/>
              </w:rPr>
            </w:pPr>
          </w:p>
        </w:tc>
        <w:tc>
          <w:tcPr>
            <w:tcW w:w="807" w:type="dxa"/>
          </w:tcPr>
          <w:p w14:paraId="4B696EDB">
            <w:pPr>
              <w:spacing w:line="240" w:lineRule="auto"/>
              <w:rPr>
                <w:color w:val="auto"/>
                <w:sz w:val="24"/>
                <w:szCs w:val="24"/>
                <w:highlight w:val="none"/>
              </w:rPr>
            </w:pPr>
          </w:p>
        </w:tc>
        <w:tc>
          <w:tcPr>
            <w:tcW w:w="807" w:type="dxa"/>
          </w:tcPr>
          <w:p w14:paraId="2B54B2C9">
            <w:pPr>
              <w:spacing w:line="240" w:lineRule="auto"/>
              <w:rPr>
                <w:color w:val="auto"/>
                <w:sz w:val="24"/>
                <w:szCs w:val="24"/>
                <w:highlight w:val="none"/>
              </w:rPr>
            </w:pPr>
          </w:p>
        </w:tc>
        <w:tc>
          <w:tcPr>
            <w:tcW w:w="850" w:type="dxa"/>
          </w:tcPr>
          <w:p w14:paraId="650D653A">
            <w:pPr>
              <w:spacing w:line="240" w:lineRule="auto"/>
              <w:rPr>
                <w:color w:val="auto"/>
                <w:sz w:val="24"/>
                <w:szCs w:val="24"/>
                <w:highlight w:val="none"/>
              </w:rPr>
            </w:pPr>
          </w:p>
        </w:tc>
        <w:tc>
          <w:tcPr>
            <w:tcW w:w="959" w:type="dxa"/>
          </w:tcPr>
          <w:p w14:paraId="1EE7D581">
            <w:pPr>
              <w:spacing w:line="240" w:lineRule="auto"/>
              <w:rPr>
                <w:color w:val="auto"/>
                <w:sz w:val="24"/>
                <w:szCs w:val="24"/>
                <w:highlight w:val="none"/>
              </w:rPr>
            </w:pPr>
          </w:p>
        </w:tc>
        <w:tc>
          <w:tcPr>
            <w:tcW w:w="846" w:type="dxa"/>
          </w:tcPr>
          <w:p w14:paraId="7E047BC3">
            <w:pPr>
              <w:spacing w:line="240" w:lineRule="auto"/>
              <w:rPr>
                <w:color w:val="auto"/>
                <w:sz w:val="24"/>
                <w:szCs w:val="24"/>
                <w:highlight w:val="none"/>
              </w:rPr>
            </w:pPr>
          </w:p>
        </w:tc>
        <w:tc>
          <w:tcPr>
            <w:tcW w:w="736" w:type="dxa"/>
          </w:tcPr>
          <w:p w14:paraId="152A1633">
            <w:pPr>
              <w:spacing w:line="240" w:lineRule="auto"/>
              <w:rPr>
                <w:color w:val="auto"/>
                <w:sz w:val="24"/>
                <w:szCs w:val="24"/>
                <w:highlight w:val="none"/>
              </w:rPr>
            </w:pPr>
          </w:p>
        </w:tc>
      </w:tr>
      <w:tr w14:paraId="391F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74E0F963">
            <w:pPr>
              <w:spacing w:line="240" w:lineRule="auto"/>
              <w:rPr>
                <w:color w:val="auto"/>
                <w:sz w:val="24"/>
                <w:szCs w:val="24"/>
                <w:highlight w:val="none"/>
              </w:rPr>
            </w:pPr>
          </w:p>
        </w:tc>
        <w:tc>
          <w:tcPr>
            <w:tcW w:w="806" w:type="dxa"/>
          </w:tcPr>
          <w:p w14:paraId="7AFACDBD">
            <w:pPr>
              <w:spacing w:line="240" w:lineRule="auto"/>
              <w:rPr>
                <w:color w:val="auto"/>
                <w:sz w:val="24"/>
                <w:szCs w:val="24"/>
                <w:highlight w:val="none"/>
              </w:rPr>
            </w:pPr>
          </w:p>
        </w:tc>
        <w:tc>
          <w:tcPr>
            <w:tcW w:w="807" w:type="dxa"/>
          </w:tcPr>
          <w:p w14:paraId="5F8739B1">
            <w:pPr>
              <w:spacing w:line="240" w:lineRule="auto"/>
              <w:rPr>
                <w:color w:val="auto"/>
                <w:sz w:val="24"/>
                <w:szCs w:val="24"/>
                <w:highlight w:val="none"/>
              </w:rPr>
            </w:pPr>
          </w:p>
        </w:tc>
        <w:tc>
          <w:tcPr>
            <w:tcW w:w="807" w:type="dxa"/>
          </w:tcPr>
          <w:p w14:paraId="39F98CCA">
            <w:pPr>
              <w:spacing w:line="240" w:lineRule="auto"/>
              <w:rPr>
                <w:color w:val="auto"/>
                <w:sz w:val="24"/>
                <w:szCs w:val="24"/>
                <w:highlight w:val="none"/>
              </w:rPr>
            </w:pPr>
          </w:p>
        </w:tc>
        <w:tc>
          <w:tcPr>
            <w:tcW w:w="807" w:type="dxa"/>
          </w:tcPr>
          <w:p w14:paraId="4F3B37BA">
            <w:pPr>
              <w:spacing w:line="240" w:lineRule="auto"/>
              <w:rPr>
                <w:color w:val="auto"/>
                <w:sz w:val="24"/>
                <w:szCs w:val="24"/>
                <w:highlight w:val="none"/>
              </w:rPr>
            </w:pPr>
          </w:p>
        </w:tc>
        <w:tc>
          <w:tcPr>
            <w:tcW w:w="850" w:type="dxa"/>
          </w:tcPr>
          <w:p w14:paraId="087E6DDB">
            <w:pPr>
              <w:spacing w:line="240" w:lineRule="auto"/>
              <w:rPr>
                <w:color w:val="auto"/>
                <w:sz w:val="24"/>
                <w:szCs w:val="24"/>
                <w:highlight w:val="none"/>
              </w:rPr>
            </w:pPr>
          </w:p>
        </w:tc>
        <w:tc>
          <w:tcPr>
            <w:tcW w:w="959" w:type="dxa"/>
          </w:tcPr>
          <w:p w14:paraId="31924DEB">
            <w:pPr>
              <w:spacing w:line="240" w:lineRule="auto"/>
              <w:rPr>
                <w:color w:val="auto"/>
                <w:sz w:val="24"/>
                <w:szCs w:val="24"/>
                <w:highlight w:val="none"/>
              </w:rPr>
            </w:pPr>
          </w:p>
        </w:tc>
        <w:tc>
          <w:tcPr>
            <w:tcW w:w="846" w:type="dxa"/>
          </w:tcPr>
          <w:p w14:paraId="3683B051">
            <w:pPr>
              <w:spacing w:line="240" w:lineRule="auto"/>
              <w:rPr>
                <w:color w:val="auto"/>
                <w:sz w:val="24"/>
                <w:szCs w:val="24"/>
                <w:highlight w:val="none"/>
              </w:rPr>
            </w:pPr>
          </w:p>
        </w:tc>
        <w:tc>
          <w:tcPr>
            <w:tcW w:w="736" w:type="dxa"/>
          </w:tcPr>
          <w:p w14:paraId="15D1C536">
            <w:pPr>
              <w:spacing w:line="240" w:lineRule="auto"/>
              <w:rPr>
                <w:color w:val="auto"/>
                <w:sz w:val="24"/>
                <w:szCs w:val="24"/>
                <w:highlight w:val="none"/>
              </w:rPr>
            </w:pPr>
          </w:p>
        </w:tc>
      </w:tr>
      <w:tr w14:paraId="013E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5A365E9F">
            <w:pPr>
              <w:spacing w:before="89" w:line="240" w:lineRule="auto"/>
              <w:ind w:left="118" w:right="125"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售后</w:t>
            </w:r>
            <w:r>
              <w:rPr>
                <w:rFonts w:ascii="宋体" w:hAnsi="宋体" w:eastAsia="宋体" w:cs="宋体"/>
                <w:color w:val="auto"/>
                <w:spacing w:val="6"/>
                <w:sz w:val="24"/>
                <w:szCs w:val="24"/>
                <w:highlight w:val="none"/>
              </w:rPr>
              <w:t>服务人员</w:t>
            </w:r>
          </w:p>
        </w:tc>
        <w:tc>
          <w:tcPr>
            <w:tcW w:w="806" w:type="dxa"/>
          </w:tcPr>
          <w:p w14:paraId="0EC7CD7A">
            <w:pPr>
              <w:spacing w:line="240" w:lineRule="auto"/>
              <w:rPr>
                <w:color w:val="auto"/>
                <w:sz w:val="24"/>
                <w:szCs w:val="24"/>
                <w:highlight w:val="none"/>
              </w:rPr>
            </w:pPr>
          </w:p>
        </w:tc>
        <w:tc>
          <w:tcPr>
            <w:tcW w:w="807" w:type="dxa"/>
          </w:tcPr>
          <w:p w14:paraId="6BA338B9">
            <w:pPr>
              <w:spacing w:line="240" w:lineRule="auto"/>
              <w:rPr>
                <w:color w:val="auto"/>
                <w:sz w:val="24"/>
                <w:szCs w:val="24"/>
                <w:highlight w:val="none"/>
              </w:rPr>
            </w:pPr>
          </w:p>
        </w:tc>
        <w:tc>
          <w:tcPr>
            <w:tcW w:w="807" w:type="dxa"/>
          </w:tcPr>
          <w:p w14:paraId="09FAAF05">
            <w:pPr>
              <w:spacing w:line="240" w:lineRule="auto"/>
              <w:rPr>
                <w:color w:val="auto"/>
                <w:sz w:val="24"/>
                <w:szCs w:val="24"/>
                <w:highlight w:val="none"/>
              </w:rPr>
            </w:pPr>
          </w:p>
        </w:tc>
        <w:tc>
          <w:tcPr>
            <w:tcW w:w="807" w:type="dxa"/>
          </w:tcPr>
          <w:p w14:paraId="0AF7617D">
            <w:pPr>
              <w:spacing w:line="240" w:lineRule="auto"/>
              <w:rPr>
                <w:color w:val="auto"/>
                <w:sz w:val="24"/>
                <w:szCs w:val="24"/>
                <w:highlight w:val="none"/>
              </w:rPr>
            </w:pPr>
          </w:p>
        </w:tc>
        <w:tc>
          <w:tcPr>
            <w:tcW w:w="850" w:type="dxa"/>
          </w:tcPr>
          <w:p w14:paraId="6BC957FF">
            <w:pPr>
              <w:spacing w:line="240" w:lineRule="auto"/>
              <w:rPr>
                <w:color w:val="auto"/>
                <w:sz w:val="24"/>
                <w:szCs w:val="24"/>
                <w:highlight w:val="none"/>
              </w:rPr>
            </w:pPr>
          </w:p>
        </w:tc>
        <w:tc>
          <w:tcPr>
            <w:tcW w:w="959" w:type="dxa"/>
          </w:tcPr>
          <w:p w14:paraId="31FB1156">
            <w:pPr>
              <w:spacing w:line="240" w:lineRule="auto"/>
              <w:rPr>
                <w:color w:val="auto"/>
                <w:sz w:val="24"/>
                <w:szCs w:val="24"/>
                <w:highlight w:val="none"/>
              </w:rPr>
            </w:pPr>
          </w:p>
        </w:tc>
        <w:tc>
          <w:tcPr>
            <w:tcW w:w="846" w:type="dxa"/>
          </w:tcPr>
          <w:p w14:paraId="43621EC1">
            <w:pPr>
              <w:spacing w:line="240" w:lineRule="auto"/>
              <w:rPr>
                <w:color w:val="auto"/>
                <w:sz w:val="24"/>
                <w:szCs w:val="24"/>
                <w:highlight w:val="none"/>
              </w:rPr>
            </w:pPr>
          </w:p>
        </w:tc>
        <w:tc>
          <w:tcPr>
            <w:tcW w:w="736" w:type="dxa"/>
          </w:tcPr>
          <w:p w14:paraId="79A142AB">
            <w:pPr>
              <w:spacing w:line="240" w:lineRule="auto"/>
              <w:rPr>
                <w:color w:val="auto"/>
                <w:sz w:val="24"/>
                <w:szCs w:val="24"/>
                <w:highlight w:val="none"/>
              </w:rPr>
            </w:pPr>
          </w:p>
        </w:tc>
      </w:tr>
      <w:tr w14:paraId="7F38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continue"/>
            <w:tcBorders>
              <w:top w:val="nil"/>
            </w:tcBorders>
          </w:tcPr>
          <w:p w14:paraId="0D563688">
            <w:pPr>
              <w:spacing w:line="240" w:lineRule="auto"/>
              <w:rPr>
                <w:color w:val="auto"/>
                <w:sz w:val="24"/>
                <w:szCs w:val="24"/>
                <w:highlight w:val="none"/>
              </w:rPr>
            </w:pPr>
          </w:p>
        </w:tc>
        <w:tc>
          <w:tcPr>
            <w:tcW w:w="806" w:type="dxa"/>
          </w:tcPr>
          <w:p w14:paraId="7F8DE49D">
            <w:pPr>
              <w:spacing w:line="240" w:lineRule="auto"/>
              <w:rPr>
                <w:color w:val="auto"/>
                <w:sz w:val="24"/>
                <w:szCs w:val="24"/>
                <w:highlight w:val="none"/>
              </w:rPr>
            </w:pPr>
          </w:p>
        </w:tc>
        <w:tc>
          <w:tcPr>
            <w:tcW w:w="807" w:type="dxa"/>
          </w:tcPr>
          <w:p w14:paraId="39F1278C">
            <w:pPr>
              <w:spacing w:line="240" w:lineRule="auto"/>
              <w:rPr>
                <w:color w:val="auto"/>
                <w:sz w:val="24"/>
                <w:szCs w:val="24"/>
                <w:highlight w:val="none"/>
              </w:rPr>
            </w:pPr>
          </w:p>
        </w:tc>
        <w:tc>
          <w:tcPr>
            <w:tcW w:w="807" w:type="dxa"/>
          </w:tcPr>
          <w:p w14:paraId="30D3C79F">
            <w:pPr>
              <w:spacing w:line="240" w:lineRule="auto"/>
              <w:rPr>
                <w:color w:val="auto"/>
                <w:sz w:val="24"/>
                <w:szCs w:val="24"/>
                <w:highlight w:val="none"/>
              </w:rPr>
            </w:pPr>
          </w:p>
        </w:tc>
        <w:tc>
          <w:tcPr>
            <w:tcW w:w="807" w:type="dxa"/>
          </w:tcPr>
          <w:p w14:paraId="7132246A">
            <w:pPr>
              <w:spacing w:line="240" w:lineRule="auto"/>
              <w:rPr>
                <w:color w:val="auto"/>
                <w:sz w:val="24"/>
                <w:szCs w:val="24"/>
                <w:highlight w:val="none"/>
              </w:rPr>
            </w:pPr>
          </w:p>
        </w:tc>
        <w:tc>
          <w:tcPr>
            <w:tcW w:w="850" w:type="dxa"/>
          </w:tcPr>
          <w:p w14:paraId="2BF09BDC">
            <w:pPr>
              <w:spacing w:line="240" w:lineRule="auto"/>
              <w:rPr>
                <w:color w:val="auto"/>
                <w:sz w:val="24"/>
                <w:szCs w:val="24"/>
                <w:highlight w:val="none"/>
              </w:rPr>
            </w:pPr>
          </w:p>
        </w:tc>
        <w:tc>
          <w:tcPr>
            <w:tcW w:w="959" w:type="dxa"/>
          </w:tcPr>
          <w:p w14:paraId="7ED401CE">
            <w:pPr>
              <w:spacing w:line="240" w:lineRule="auto"/>
              <w:rPr>
                <w:color w:val="auto"/>
                <w:sz w:val="24"/>
                <w:szCs w:val="24"/>
                <w:highlight w:val="none"/>
              </w:rPr>
            </w:pPr>
          </w:p>
        </w:tc>
        <w:tc>
          <w:tcPr>
            <w:tcW w:w="846" w:type="dxa"/>
          </w:tcPr>
          <w:p w14:paraId="3D2063CF">
            <w:pPr>
              <w:spacing w:line="240" w:lineRule="auto"/>
              <w:rPr>
                <w:color w:val="auto"/>
                <w:sz w:val="24"/>
                <w:szCs w:val="24"/>
                <w:highlight w:val="none"/>
              </w:rPr>
            </w:pPr>
          </w:p>
        </w:tc>
        <w:tc>
          <w:tcPr>
            <w:tcW w:w="736" w:type="dxa"/>
          </w:tcPr>
          <w:p w14:paraId="0789CB0D">
            <w:pPr>
              <w:spacing w:line="240" w:lineRule="auto"/>
              <w:rPr>
                <w:color w:val="auto"/>
                <w:sz w:val="24"/>
                <w:szCs w:val="24"/>
                <w:highlight w:val="none"/>
              </w:rPr>
            </w:pPr>
          </w:p>
        </w:tc>
      </w:tr>
    </w:tbl>
    <w:p w14:paraId="3CD33FF1">
      <w:pPr>
        <w:spacing w:line="240" w:lineRule="auto"/>
        <w:rPr>
          <w:color w:val="auto"/>
          <w:highlight w:val="none"/>
        </w:rPr>
      </w:pPr>
    </w:p>
    <w:p w14:paraId="2145F18F">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6A4413E">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4CB940D8">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CD2224">
      <w:pPr>
        <w:spacing w:line="240" w:lineRule="auto"/>
        <w:rPr>
          <w:color w:val="auto"/>
          <w:sz w:val="24"/>
          <w:szCs w:val="24"/>
          <w:highlight w:val="none"/>
        </w:rPr>
      </w:pPr>
    </w:p>
    <w:p w14:paraId="7E1C47D3">
      <w:pPr>
        <w:spacing w:line="240" w:lineRule="auto"/>
        <w:ind w:right="13"/>
        <w:rPr>
          <w:rFonts w:ascii="宋体" w:hAnsi="宋体" w:eastAsia="宋体" w:cs="宋体"/>
          <w:b/>
          <w:bCs/>
          <w:color w:val="auto"/>
          <w:spacing w:val="6"/>
          <w:sz w:val="23"/>
          <w:szCs w:val="23"/>
          <w:highlight w:val="none"/>
        </w:rPr>
      </w:pPr>
      <w:r>
        <w:rPr>
          <w:rFonts w:hint="eastAsia" w:ascii="宋体" w:hAnsi="宋体" w:eastAsia="宋体" w:cs="宋体"/>
          <w:b/>
          <w:bCs/>
          <w:color w:val="auto"/>
          <w:spacing w:val="6"/>
          <w:sz w:val="24"/>
          <w:szCs w:val="24"/>
          <w:highlight w:val="none"/>
        </w:rPr>
        <w:t>注：此表填写的管理人员将作为判定(财政部令第87号) 第三十七条依据。</w:t>
      </w:r>
    </w:p>
    <w:p w14:paraId="4F5103B9">
      <w:pPr>
        <w:spacing w:line="240" w:lineRule="auto"/>
        <w:rPr>
          <w:color w:val="auto"/>
          <w:highlight w:val="none"/>
        </w:rPr>
      </w:pPr>
    </w:p>
    <w:p w14:paraId="314A1E85">
      <w:pPr>
        <w:spacing w:line="240" w:lineRule="auto"/>
        <w:rPr>
          <w:color w:val="auto"/>
          <w:highlight w:val="none"/>
        </w:rPr>
      </w:pPr>
    </w:p>
    <w:p w14:paraId="5660F865">
      <w:pPr>
        <w:spacing w:line="240" w:lineRule="auto"/>
        <w:rPr>
          <w:color w:val="auto"/>
          <w:highlight w:val="none"/>
        </w:rPr>
      </w:pPr>
    </w:p>
    <w:p w14:paraId="57A04865">
      <w:pPr>
        <w:spacing w:line="240" w:lineRule="auto"/>
        <w:rPr>
          <w:color w:val="auto"/>
          <w:highlight w:val="none"/>
        </w:rPr>
      </w:pPr>
    </w:p>
    <w:p w14:paraId="09E247CF">
      <w:pPr>
        <w:spacing w:line="240" w:lineRule="auto"/>
        <w:rPr>
          <w:color w:val="auto"/>
          <w:highlight w:val="none"/>
        </w:rPr>
      </w:pPr>
    </w:p>
    <w:p w14:paraId="7E5254EE">
      <w:pPr>
        <w:spacing w:line="240" w:lineRule="auto"/>
        <w:rPr>
          <w:color w:val="auto"/>
          <w:highlight w:val="none"/>
        </w:rPr>
      </w:pPr>
    </w:p>
    <w:p w14:paraId="229F9229">
      <w:pPr>
        <w:spacing w:line="240" w:lineRule="auto"/>
        <w:rPr>
          <w:color w:val="auto"/>
          <w:highlight w:val="none"/>
        </w:rPr>
      </w:pPr>
    </w:p>
    <w:p w14:paraId="17EF1674">
      <w:pPr>
        <w:spacing w:line="240" w:lineRule="auto"/>
        <w:rPr>
          <w:color w:val="auto"/>
          <w:highlight w:val="none"/>
        </w:rPr>
      </w:pPr>
    </w:p>
    <w:p w14:paraId="070DA09F">
      <w:pPr>
        <w:spacing w:line="240" w:lineRule="auto"/>
        <w:rPr>
          <w:color w:val="auto"/>
          <w:highlight w:val="none"/>
        </w:rPr>
      </w:pPr>
    </w:p>
    <w:p w14:paraId="40CF8EEC">
      <w:pPr>
        <w:spacing w:line="240" w:lineRule="auto"/>
        <w:rPr>
          <w:color w:val="auto"/>
          <w:highlight w:val="none"/>
        </w:rPr>
      </w:pPr>
    </w:p>
    <w:p w14:paraId="5FA693E0">
      <w:pPr>
        <w:spacing w:line="240" w:lineRule="auto"/>
        <w:rPr>
          <w:color w:val="auto"/>
          <w:highlight w:val="none"/>
        </w:rPr>
      </w:pPr>
    </w:p>
    <w:p w14:paraId="7BD0F292">
      <w:pPr>
        <w:spacing w:line="240" w:lineRule="auto"/>
        <w:rPr>
          <w:color w:val="auto"/>
          <w:highlight w:val="none"/>
        </w:rPr>
      </w:pPr>
    </w:p>
    <w:p w14:paraId="7647F199">
      <w:pPr>
        <w:spacing w:line="240" w:lineRule="auto"/>
        <w:rPr>
          <w:color w:val="auto"/>
          <w:highlight w:val="none"/>
        </w:rPr>
      </w:pPr>
    </w:p>
    <w:p w14:paraId="612E517B">
      <w:pPr>
        <w:spacing w:line="240" w:lineRule="auto"/>
        <w:rPr>
          <w:color w:val="auto"/>
          <w:highlight w:val="none"/>
        </w:rPr>
      </w:pPr>
    </w:p>
    <w:p w14:paraId="7BC9038B">
      <w:pPr>
        <w:spacing w:line="240" w:lineRule="auto"/>
        <w:rPr>
          <w:color w:val="auto"/>
          <w:highlight w:val="none"/>
        </w:rPr>
      </w:pPr>
    </w:p>
    <w:p w14:paraId="31E09129">
      <w:pPr>
        <w:spacing w:line="240" w:lineRule="auto"/>
        <w:rPr>
          <w:color w:val="auto"/>
          <w:highlight w:val="none"/>
        </w:rPr>
      </w:pPr>
    </w:p>
    <w:p w14:paraId="355ACD19">
      <w:pPr>
        <w:spacing w:line="240" w:lineRule="auto"/>
        <w:rPr>
          <w:color w:val="auto"/>
          <w:highlight w:val="none"/>
        </w:rPr>
        <w:sectPr>
          <w:headerReference r:id="rId34" w:type="default"/>
          <w:footerReference r:id="rId35" w:type="default"/>
          <w:pgSz w:w="11905" w:h="16838"/>
          <w:pgMar w:top="1417" w:right="1417" w:bottom="1417" w:left="1417" w:header="0" w:footer="1134" w:gutter="0"/>
          <w:pgNumType w:fmt="decimal"/>
          <w:cols w:space="0" w:num="1"/>
        </w:sectPr>
      </w:pPr>
    </w:p>
    <w:p w14:paraId="06A103F6">
      <w:pPr>
        <w:spacing w:before="3" w:line="240" w:lineRule="auto"/>
        <w:ind w:right="13"/>
        <w:jc w:val="both"/>
        <w:rPr>
          <w:rFonts w:ascii="宋体" w:hAnsi="宋体" w:eastAsia="宋体" w:cs="宋体"/>
          <w:b/>
          <w:bCs/>
          <w:color w:val="auto"/>
          <w:sz w:val="32"/>
          <w:szCs w:val="32"/>
          <w:highlight w:val="none"/>
        </w:rPr>
      </w:pPr>
    </w:p>
    <w:p w14:paraId="0F992917">
      <w:pPr>
        <w:spacing w:before="3" w:line="240" w:lineRule="auto"/>
        <w:ind w:right="13"/>
        <w:jc w:val="center"/>
        <w:outlineLvl w:val="9"/>
        <w:rPr>
          <w:rFonts w:ascii="宋体" w:hAnsi="宋体" w:eastAsia="宋体" w:cs="宋体"/>
          <w:b/>
          <w:bCs/>
          <w:color w:val="auto"/>
          <w:sz w:val="32"/>
          <w:szCs w:val="32"/>
          <w:highlight w:val="none"/>
        </w:rPr>
      </w:pPr>
      <w:bookmarkStart w:id="148" w:name="_Toc24427"/>
      <w:bookmarkStart w:id="149" w:name="_Toc20221"/>
      <w:r>
        <w:rPr>
          <w:rFonts w:hint="eastAsia" w:ascii="宋体" w:hAnsi="宋体" w:eastAsia="宋体" w:cs="宋体"/>
          <w:b/>
          <w:bCs/>
          <w:color w:val="auto"/>
          <w:sz w:val="32"/>
          <w:szCs w:val="32"/>
          <w:highlight w:val="none"/>
          <w:lang w:eastAsia="zh-CN"/>
        </w:rPr>
        <w:t>九</w:t>
      </w:r>
      <w:r>
        <w:rPr>
          <w:rFonts w:hint="eastAsia" w:ascii="宋体" w:hAnsi="宋体" w:eastAsia="宋体" w:cs="宋体"/>
          <w:b/>
          <w:bCs/>
          <w:color w:val="auto"/>
          <w:sz w:val="32"/>
          <w:szCs w:val="32"/>
          <w:highlight w:val="none"/>
        </w:rPr>
        <w:t>、承诺函(实质性要求)</w:t>
      </w:r>
      <w:bookmarkEnd w:id="148"/>
      <w:bookmarkEnd w:id="149"/>
    </w:p>
    <w:p w14:paraId="42AF385D">
      <w:pPr>
        <w:tabs>
          <w:tab w:val="left" w:pos="1948"/>
        </w:tabs>
        <w:spacing w:before="176" w:line="240" w:lineRule="auto"/>
        <w:ind w:left="14"/>
        <w:rPr>
          <w:rFonts w:ascii="宋体" w:hAnsi="宋体" w:eastAsia="宋体" w:cs="宋体"/>
          <w:color w:val="auto"/>
          <w:sz w:val="23"/>
          <w:szCs w:val="23"/>
          <w:highlight w:val="none"/>
          <w:u w:val="single"/>
        </w:rPr>
      </w:pPr>
    </w:p>
    <w:p w14:paraId="09DD93F7">
      <w:pPr>
        <w:tabs>
          <w:tab w:val="left" w:pos="1948"/>
        </w:tabs>
        <w:spacing w:before="176"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(招标代理机构名称)：</w:t>
      </w:r>
    </w:p>
    <w:p w14:paraId="4789405F">
      <w:pPr>
        <w:spacing w:line="240" w:lineRule="auto"/>
        <w:rPr>
          <w:color w:val="auto"/>
          <w:sz w:val="24"/>
          <w:szCs w:val="24"/>
          <w:highlight w:val="none"/>
        </w:rPr>
      </w:pPr>
    </w:p>
    <w:p w14:paraId="1E7756A9">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我单位作为本次采购项目的投标人，根据招标文件要求，现郑重承诺如下：</w:t>
      </w:r>
    </w:p>
    <w:p w14:paraId="094CB68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1C8776C3">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二、参加本次招标采购活动，不存在与单位负责人为同一人或者存在直接控股、管理关系的其他供应商参与同一合同项下的采购活动的行为。</w:t>
      </w:r>
    </w:p>
    <w:p w14:paraId="5FA0238A">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三、参加本次招标采购活动，不存在和其他供应商在同一合同项下的采购项目中，同时委托同一个自然人、同一家庭的人员、同一单位的人员作为代理人的行为。</w:t>
      </w:r>
    </w:p>
    <w:p w14:paraId="7000192F">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四、为采购项目提供整体设计、规范编制或者项目管理、监理、检测等服务的供应商，不得再参加该采购项目的其他采购活动，我单位承诺不属于此类禁止参加本项目的供应商。</w:t>
      </w:r>
    </w:p>
    <w:p w14:paraId="3116A67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五、投标文件中提供的能够给予我公司带来优惠、好处的任何材料资料和技术、服务、商务等响应承诺情况都是真实的、有效的、合法的。</w:t>
      </w:r>
    </w:p>
    <w:p w14:paraId="3E30FE40">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4065149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七、参加本次招标采购活动，我方完全同意招标文件第二章关于“投标费用”、“合同分包”、“合同转包”、“履约保证金”的实质性要求，并承诺严格按照招标文件要求履行。</w:t>
      </w:r>
    </w:p>
    <w:p w14:paraId="78AC1A23">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5BB44B2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九、本次投标报价是响应招标项目要求的全部工作内容的价格体现，包括完成本项目所需的一切费用。</w:t>
      </w:r>
    </w:p>
    <w:p w14:paraId="4AD180F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我方对上述承诺的内容事项真实性负责。如经查实上述承诺的内容事项存在虚假，我方愿意接受以提供虚假材料谋取中标追究法律责任。</w:t>
      </w:r>
    </w:p>
    <w:p w14:paraId="3E8009C0">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0A4789FE">
      <w:pPr>
        <w:spacing w:before="77" w:line="240" w:lineRule="auto"/>
        <w:ind w:left="494"/>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E71A8DE">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76393B9">
      <w:pPr>
        <w:spacing w:line="240" w:lineRule="auto"/>
        <w:rPr>
          <w:color w:val="auto"/>
          <w:highlight w:val="none"/>
        </w:rPr>
        <w:sectPr>
          <w:headerReference r:id="rId36" w:type="default"/>
          <w:footerReference r:id="rId37" w:type="default"/>
          <w:pgSz w:w="11905" w:h="16838"/>
          <w:pgMar w:top="1417" w:right="1417" w:bottom="1417" w:left="1417" w:header="0" w:footer="1134" w:gutter="0"/>
          <w:pgNumType w:fmt="decimal"/>
          <w:cols w:space="0" w:num="1"/>
        </w:sectPr>
      </w:pPr>
    </w:p>
    <w:p w14:paraId="0227677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0" w:name="_Toc1869"/>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bookmarkEnd w:id="150"/>
    </w:p>
    <w:p w14:paraId="0F852C7E">
      <w:pPr>
        <w:spacing w:line="240" w:lineRule="auto"/>
        <w:rPr>
          <w:rFonts w:ascii="宋体" w:hAnsi="宋体" w:eastAsia="宋体" w:cs="宋体"/>
          <w:b/>
          <w:bCs/>
          <w:color w:val="auto"/>
          <w:sz w:val="24"/>
          <w:szCs w:val="24"/>
          <w:highlight w:val="none"/>
        </w:rPr>
      </w:pPr>
      <w:bookmarkStart w:id="151" w:name="_Toc12309"/>
      <w:bookmarkStart w:id="152" w:name="_Toc9678"/>
      <w:r>
        <w:rPr>
          <w:rFonts w:hint="eastAsia" w:ascii="宋体" w:hAnsi="宋体" w:eastAsia="宋体" w:cs="宋体"/>
          <w:b/>
          <w:bCs/>
          <w:color w:val="auto"/>
          <w:sz w:val="24"/>
          <w:szCs w:val="24"/>
          <w:highlight w:val="none"/>
        </w:rPr>
        <w:t>一、参加投标的供应商应具备下列资格条件：</w:t>
      </w:r>
      <w:bookmarkEnd w:id="151"/>
      <w:bookmarkEnd w:id="152"/>
    </w:p>
    <w:p w14:paraId="6FA3BEDC">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p>
    <w:p w14:paraId="733104E8">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1、具有独立承担民事责任的能力；</w:t>
      </w:r>
    </w:p>
    <w:p w14:paraId="3F15796F">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2、具有良好的商业信誉和健全的财务会计制度；</w:t>
      </w:r>
    </w:p>
    <w:p w14:paraId="68E9E7EA">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3、具有履行合同所必需的设备和专业技术能力；</w:t>
      </w:r>
    </w:p>
    <w:p w14:paraId="1D8D79A7">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4、有依法缴纳税收和社会保障资金的良好记录；</w:t>
      </w:r>
    </w:p>
    <w:p w14:paraId="1DFAA0B6">
      <w:pPr>
        <w:spacing w:line="240" w:lineRule="auto"/>
        <w:ind w:left="588"/>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5、参加本次采购活动前三年内，在经营活动中没有重大违法记录；(公司成立不足三年的从成立之日起算)</w:t>
      </w:r>
    </w:p>
    <w:p w14:paraId="5C4F3A23">
      <w:pPr>
        <w:spacing w:line="240" w:lineRule="auto"/>
        <w:ind w:left="588"/>
        <w:outlineLvl w:val="9"/>
        <w:rPr>
          <w:rFonts w:ascii="宋体" w:hAnsi="宋体" w:eastAsia="宋体" w:cs="宋体"/>
          <w:color w:val="auto"/>
          <w:spacing w:val="6"/>
          <w:sz w:val="24"/>
          <w:szCs w:val="24"/>
          <w:highlight w:val="none"/>
        </w:rPr>
      </w:pPr>
      <w:bookmarkStart w:id="153" w:name="_Toc5128"/>
      <w:bookmarkStart w:id="154" w:name="_Toc2903"/>
      <w:r>
        <w:rPr>
          <w:rFonts w:hint="eastAsia" w:ascii="宋体" w:hAnsi="宋体" w:eastAsia="宋体" w:cs="宋体"/>
          <w:color w:val="auto"/>
          <w:spacing w:val="6"/>
          <w:sz w:val="24"/>
          <w:szCs w:val="24"/>
          <w:highlight w:val="none"/>
        </w:rPr>
        <w:t>6、具备法律、行政法规规定的其他条件。</w:t>
      </w:r>
      <w:bookmarkEnd w:id="153"/>
      <w:bookmarkEnd w:id="154"/>
    </w:p>
    <w:p w14:paraId="05F57B41">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(二) 本项目不接受联合体投标。</w:t>
      </w:r>
    </w:p>
    <w:p w14:paraId="125C7805">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三</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z w:val="24"/>
          <w:szCs w:val="24"/>
          <w:highlight w:val="none"/>
        </w:rPr>
        <w:t>其他类似效力要求：</w:t>
      </w:r>
    </w:p>
    <w:p w14:paraId="51FEDBA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val="en-US" w:eastAsia="zh-CN"/>
        </w:rPr>
        <w:t>参照</w:t>
      </w:r>
      <w:r>
        <w:rPr>
          <w:rFonts w:hint="eastAsia" w:ascii="宋体" w:hAnsi="宋体" w:eastAsia="宋体" w:cs="宋体"/>
          <w:color w:val="auto"/>
          <w:spacing w:val="6"/>
          <w:sz w:val="24"/>
          <w:szCs w:val="24"/>
          <w:highlight w:val="none"/>
        </w:rPr>
        <w:t>《关于在政府采购活动中查询及使用信用记录有关问题的通知》(财库〔2016〕125号)的要求，拒绝列入失信被执行人名单、重大税收违法案件当事人名单、政府采购严重违法失信行为记录名单中的供应商参加本项目的采购活动；</w:t>
      </w:r>
    </w:p>
    <w:p w14:paraId="57E40D6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、授权参加本次采购活动的投标人代表证明材料；</w:t>
      </w:r>
    </w:p>
    <w:p w14:paraId="2D6085E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、按照本项目招标文件的规定获取了招标文件。</w:t>
      </w:r>
    </w:p>
    <w:p w14:paraId="0F1007CD">
      <w:pPr>
        <w:spacing w:line="240" w:lineRule="auto"/>
        <w:rPr>
          <w:rFonts w:ascii="宋体" w:hAnsi="宋体" w:eastAsia="宋体" w:cs="宋体"/>
          <w:b/>
          <w:bCs/>
          <w:color w:val="auto"/>
          <w:sz w:val="24"/>
          <w:szCs w:val="24"/>
          <w:highlight w:val="none"/>
        </w:rPr>
      </w:pPr>
    </w:p>
    <w:p w14:paraId="6AA557E8">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注：1、本章资格要求第 (5款) 中“参加本次采购活动前三年内，在经营活动中没有重大违法记录”中的重大违法记录是指：投标人因违法经营 受到刑事处罚或者责令停产停业、吊销许可证或者执照、较大数额罚款等行政处罚，其中较大数额罚款的具体金额标准以财库〔2022〕3 号文为准，即：认定为200万元以上的罚款，法律、行政法规以及国务院有关部门明确规定相关 领域“较大数额罚款”标准高于200万元的，从其规定。</w:t>
      </w:r>
    </w:p>
    <w:p w14:paraId="56925B0F">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 (处理)的，本项目不认定其具有良好的商业信誉。</w:t>
      </w:r>
    </w:p>
    <w:p w14:paraId="55A48951">
      <w:pPr>
        <w:spacing w:line="240" w:lineRule="auto"/>
        <w:rPr>
          <w:rFonts w:ascii="宋体" w:hAnsi="宋体" w:eastAsia="宋体" w:cs="宋体"/>
          <w:b/>
          <w:bCs/>
          <w:color w:val="auto"/>
          <w:sz w:val="23"/>
          <w:szCs w:val="23"/>
          <w:highlight w:val="none"/>
        </w:rPr>
      </w:pPr>
      <w:r>
        <w:rPr>
          <w:rFonts w:ascii="宋体" w:hAnsi="宋体" w:eastAsia="宋体" w:cs="宋体"/>
          <w:b/>
          <w:bCs/>
          <w:color w:val="auto"/>
          <w:sz w:val="24"/>
          <w:szCs w:val="24"/>
          <w:highlight w:val="none"/>
        </w:rPr>
        <w:pict>
          <v:shape id="_x0000_s2057" o:spid="_x0000_s2057" o:spt="202" type="#_x0000_t202" style="position:absolute;left:0pt;margin-left:288.1pt;margin-top:772.25pt;height:10.05pt;width:21.1pt;mso-position-horizontal-relative:page;mso-position-vertical-relative:page;z-index:251669504;mso-width-relative:page;mso-height-relative:page;" filled="f" stroked="f" coordsize="21600,21600" o:allowincell="f">
            <v:path/>
            <v:fill on="f" focussize="0,0"/>
            <v:stroke on="f" joinstyle="miter"/>
            <v:imagedata o:title=""/>
            <o:lock v:ext="edit"/>
            <v:textbox inset="0mm,0mm,0mm,0mm">
              <w:txbxContent>
                <w:p w14:paraId="10CD6C66">
                  <w:pPr>
                    <w:spacing w:before="19" w:line="197" w:lineRule="auto"/>
                    <w:ind w:left="20"/>
                    <w:rPr>
                      <w:rFonts w:ascii="Times New Roman" w:hAnsi="Times New Roman" w:eastAsia="Times New Roman" w:cs="Times New Roman"/>
                      <w:sz w:val="17"/>
                      <w:szCs w:val="17"/>
                    </w:rPr>
                  </w:pPr>
                </w:p>
              </w:txbxContent>
            </v:textbox>
          </v:shape>
        </w:pict>
      </w:r>
      <w:r>
        <w:rPr>
          <w:rFonts w:hint="eastAsia" w:ascii="宋体" w:hAnsi="宋体" w:eastAsia="宋体" w:cs="宋体"/>
          <w:b/>
          <w:bCs/>
          <w:color w:val="auto"/>
          <w:sz w:val="24"/>
          <w:szCs w:val="24"/>
          <w:highlight w:val="none"/>
        </w:rPr>
        <w:t>3、本章要求投标人提供的资格证明材料必须加盖投标人印章(鲜章)。</w:t>
      </w:r>
    </w:p>
    <w:p w14:paraId="7EAC9401">
      <w:pPr>
        <w:spacing w:line="240" w:lineRule="auto"/>
        <w:rPr>
          <w:color w:val="auto"/>
          <w:highlight w:val="none"/>
        </w:rPr>
        <w:sectPr>
          <w:headerReference r:id="rId38" w:type="default"/>
          <w:footerReference r:id="rId39" w:type="default"/>
          <w:pgSz w:w="11905" w:h="16838"/>
          <w:pgMar w:top="1417" w:right="1417" w:bottom="1417" w:left="1417" w:header="0" w:footer="1134" w:gutter="0"/>
          <w:pgNumType w:fmt="decimal"/>
          <w:cols w:space="0" w:num="1"/>
        </w:sectPr>
      </w:pPr>
    </w:p>
    <w:p w14:paraId="4ECBDE6F">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5" w:name="_Toc4044"/>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第五章  投标人应当提供的资格、资质性及其他类似</w:t>
      </w:r>
      <w:bookmarkStart w:id="156" w:name="_Toc2783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效力要求的相关证明材料</w:t>
      </w:r>
      <w:bookmarkEnd w:id="155"/>
      <w:bookmarkEnd w:id="156"/>
    </w:p>
    <w:p w14:paraId="15BCE132">
      <w:pPr>
        <w:spacing w:line="240" w:lineRule="auto"/>
        <w:rPr>
          <w:color w:val="auto"/>
          <w:highlight w:val="none"/>
        </w:rPr>
      </w:pPr>
    </w:p>
    <w:p w14:paraId="31475C1D">
      <w:pPr>
        <w:spacing w:line="240" w:lineRule="auto"/>
        <w:rPr>
          <w:color w:val="auto"/>
          <w:highlight w:val="none"/>
        </w:rPr>
      </w:pPr>
    </w:p>
    <w:p w14:paraId="1963D224">
      <w:pPr>
        <w:spacing w:line="240" w:lineRule="auto"/>
        <w:outlineLvl w:val="9"/>
        <w:rPr>
          <w:rFonts w:ascii="宋体" w:hAnsi="宋体" w:eastAsia="宋体" w:cs="宋体"/>
          <w:b/>
          <w:bCs/>
          <w:color w:val="auto"/>
          <w:sz w:val="24"/>
          <w:szCs w:val="24"/>
          <w:highlight w:val="none"/>
        </w:rPr>
      </w:pPr>
      <w:bookmarkStart w:id="157" w:name="_Toc487"/>
      <w:bookmarkStart w:id="158" w:name="_Toc23003"/>
      <w:r>
        <w:rPr>
          <w:rFonts w:hint="eastAsia" w:ascii="宋体" w:hAnsi="宋体" w:eastAsia="宋体" w:cs="宋体"/>
          <w:b/>
          <w:bCs/>
          <w:color w:val="auto"/>
          <w:sz w:val="24"/>
          <w:szCs w:val="24"/>
          <w:highlight w:val="none"/>
        </w:rPr>
        <w:t>一、应当提供的供应商资格、资质性及其他类似效力要求的相关证明材料</w:t>
      </w:r>
      <w:bookmarkEnd w:id="157"/>
      <w:bookmarkEnd w:id="158"/>
    </w:p>
    <w:p w14:paraId="19D7A077">
      <w:pPr>
        <w:spacing w:line="240" w:lineRule="auto"/>
        <w:ind w:left="3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r>
        <w:rPr>
          <w:rFonts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w:t>
      </w:r>
    </w:p>
    <w:p w14:paraId="06FA64A1">
      <w:pPr>
        <w:spacing w:line="240" w:lineRule="auto"/>
        <w:ind w:left="22" w:right="94" w:firstLine="3"/>
        <w:outlineLvl w:val="9"/>
        <w:rPr>
          <w:rFonts w:ascii="宋体" w:hAnsi="宋体" w:eastAsia="宋体" w:cs="宋体"/>
          <w:color w:val="auto"/>
          <w:spacing w:val="9"/>
          <w:sz w:val="24"/>
          <w:szCs w:val="24"/>
          <w:highlight w:val="none"/>
        </w:rPr>
      </w:pPr>
      <w:bookmarkStart w:id="159" w:name="_Toc12679"/>
      <w:bookmarkStart w:id="160" w:name="_Toc15790"/>
      <w:r>
        <w:rPr>
          <w:rFonts w:hint="eastAsia" w:ascii="宋体" w:hAnsi="宋体" w:eastAsia="宋体" w:cs="宋体"/>
          <w:color w:val="auto"/>
          <w:spacing w:val="9"/>
          <w:sz w:val="24"/>
          <w:szCs w:val="24"/>
          <w:highlight w:val="none"/>
        </w:rPr>
        <w:t>1、具有独立承担民事责任的能力：</w:t>
      </w:r>
      <w:bookmarkEnd w:id="159"/>
      <w:bookmarkEnd w:id="160"/>
    </w:p>
    <w:p w14:paraId="3F283600">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14:paraId="18EEE8A2">
      <w:pPr>
        <w:spacing w:line="240" w:lineRule="auto"/>
        <w:ind w:left="22" w:right="94" w:firstLine="3"/>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2、具有良好的商业信誉和健全的财务会计制度：【①具有健全的财务会计制度的证明材料：A、可提供202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年度(含)至今任意一年度经审计的财务报告(包含审计报告和审计报告中所涉及的财务报表和报表附注)；B、也可提供202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年度(含)至今任意一年度供应商内部的财务报表(至少包含资产负债表) ；C、也可提供截止投标文件递交截止日一年内其基本开户银行出具的资信证明；D、</w:t>
      </w:r>
      <w:r>
        <w:rPr>
          <w:rFonts w:hint="eastAsia" w:ascii="宋体" w:hAnsi="宋体" w:eastAsia="宋体" w:cs="宋体"/>
          <w:color w:val="auto"/>
          <w:spacing w:val="9"/>
          <w:sz w:val="24"/>
          <w:szCs w:val="24"/>
          <w:highlight w:val="none"/>
          <w:lang w:val="en-US" w:eastAsia="zh-CN"/>
        </w:rPr>
        <w:t>投标人</w:t>
      </w:r>
      <w:r>
        <w:rPr>
          <w:rFonts w:hint="eastAsia" w:ascii="宋体" w:hAnsi="宋体" w:eastAsia="宋体" w:cs="宋体"/>
          <w:color w:val="auto"/>
          <w:spacing w:val="9"/>
          <w:sz w:val="24"/>
          <w:szCs w:val="24"/>
          <w:highlight w:val="none"/>
        </w:rPr>
        <w:t>注册时间截止响应文件递交截止日不足一年的，也可提供公司章程；F、自然人可不提供】</w:t>
      </w:r>
      <w:r>
        <w:rPr>
          <w:rFonts w:hint="eastAsia" w:ascii="宋体" w:hAnsi="宋体" w:eastAsia="宋体" w:cs="宋体"/>
          <w:color w:val="auto"/>
          <w:spacing w:val="9"/>
          <w:sz w:val="24"/>
          <w:szCs w:val="24"/>
          <w:highlight w:val="none"/>
          <w:lang w:eastAsia="zh-CN"/>
        </w:rPr>
        <w:t>。</w:t>
      </w:r>
    </w:p>
    <w:p w14:paraId="4E984208">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②提供具有良好商业信誉的承诺函 (原件) ；                             </w:t>
      </w:r>
    </w:p>
    <w:p w14:paraId="43E69BC5">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3、提供具有履行合同所必需的设备和专业技术能力承诺函；(原件)         </w:t>
      </w:r>
    </w:p>
    <w:p w14:paraId="14FF184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4、提供具有依法缴纳税收和社会保障资金的</w:t>
      </w:r>
      <w:r>
        <w:rPr>
          <w:rFonts w:hint="eastAsia" w:ascii="宋体" w:hAnsi="宋体" w:eastAsia="宋体" w:cs="宋体"/>
          <w:color w:val="auto"/>
          <w:spacing w:val="9"/>
          <w:sz w:val="24"/>
          <w:szCs w:val="24"/>
          <w:highlight w:val="none"/>
          <w:lang w:val="en-US" w:eastAsia="zh-CN"/>
        </w:rPr>
        <w:t>证明材料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①可提供2023年6月1日至今任意1个月</w:t>
      </w:r>
      <w:r>
        <w:rPr>
          <w:rFonts w:hint="eastAsia" w:ascii="宋体" w:hAnsi="宋体" w:cs="宋体"/>
          <w:color w:val="auto"/>
          <w:sz w:val="24"/>
          <w:szCs w:val="24"/>
          <w:highlight w:val="none"/>
        </w:rPr>
        <w:t>主管部门出具的依法缴纳税收及社会保障资金的发票或银行转账凭证或主管部门出具的证明文件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②也可提供承诺函</w:t>
      </w:r>
      <w:r>
        <w:rPr>
          <w:rFonts w:hint="eastAsia" w:ascii="宋体" w:hAnsi="宋体" w:eastAsia="宋体" w:cs="宋体"/>
          <w:color w:val="auto"/>
          <w:spacing w:val="9"/>
          <w:sz w:val="24"/>
          <w:szCs w:val="24"/>
          <w:highlight w:val="none"/>
        </w:rPr>
        <w:t xml:space="preserve">原件)     </w:t>
      </w:r>
    </w:p>
    <w:p w14:paraId="73E4530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5、提供参加本次采购活动前三年内，在经营活动中没有重大违法记录的承诺函；(原件)(公司成立不足三年的从成立之日起算)</w:t>
      </w:r>
    </w:p>
    <w:p w14:paraId="68E87B8D">
      <w:pPr>
        <w:spacing w:line="240" w:lineRule="auto"/>
        <w:ind w:left="22" w:right="94" w:firstLine="3"/>
        <w:outlineLvl w:val="9"/>
        <w:rPr>
          <w:rFonts w:ascii="宋体" w:hAnsi="宋体" w:eastAsia="宋体" w:cs="宋体"/>
          <w:color w:val="auto"/>
          <w:spacing w:val="4"/>
          <w:sz w:val="24"/>
          <w:szCs w:val="24"/>
          <w:highlight w:val="none"/>
        </w:rPr>
      </w:pPr>
      <w:bookmarkStart w:id="161" w:name="_Toc20467"/>
      <w:bookmarkStart w:id="162" w:name="_Toc25527"/>
      <w:r>
        <w:rPr>
          <w:rFonts w:hint="eastAsia" w:ascii="宋体" w:hAnsi="宋体" w:eastAsia="宋体" w:cs="宋体"/>
          <w:color w:val="auto"/>
          <w:spacing w:val="8"/>
          <w:sz w:val="24"/>
          <w:szCs w:val="24"/>
          <w:highlight w:val="none"/>
        </w:rPr>
        <w:t>6、</w:t>
      </w:r>
      <w:r>
        <w:rPr>
          <w:rFonts w:ascii="宋体" w:hAnsi="宋体" w:eastAsia="宋体" w:cs="宋体"/>
          <w:color w:val="auto"/>
          <w:spacing w:val="8"/>
          <w:sz w:val="24"/>
          <w:szCs w:val="24"/>
          <w:highlight w:val="none"/>
        </w:rPr>
        <w:t>提供具备</w:t>
      </w:r>
      <w:r>
        <w:rPr>
          <w:rFonts w:ascii="宋体" w:hAnsi="宋体" w:eastAsia="宋体" w:cs="宋体"/>
          <w:color w:val="auto"/>
          <w:spacing w:val="4"/>
          <w:sz w:val="24"/>
          <w:szCs w:val="24"/>
          <w:highlight w:val="none"/>
        </w:rPr>
        <w:t>法律、行政法规规定的其他条件的承诺函；(原件)</w:t>
      </w:r>
      <w:bookmarkEnd w:id="161"/>
      <w:bookmarkEnd w:id="162"/>
    </w:p>
    <w:p w14:paraId="6A60D501">
      <w:pPr>
        <w:spacing w:line="240" w:lineRule="auto"/>
        <w:ind w:left="24" w:right="96" w:firstLine="1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其他类似效力要求相关证明材料：</w:t>
      </w:r>
    </w:p>
    <w:p w14:paraId="6F43CC95">
      <w:pPr>
        <w:spacing w:line="240" w:lineRule="auto"/>
        <w:ind w:left="22" w:firstLine="18"/>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1、</w:t>
      </w:r>
      <w:r>
        <w:rPr>
          <w:rFonts w:hint="eastAsia" w:ascii="宋体" w:hAnsi="宋体" w:eastAsia="宋体" w:cs="宋体"/>
          <w:color w:val="auto"/>
          <w:spacing w:val="11"/>
          <w:sz w:val="24"/>
          <w:szCs w:val="24"/>
          <w:highlight w:val="none"/>
        </w:rPr>
        <w:t>招标代理机构</w:t>
      </w:r>
      <w:r>
        <w:rPr>
          <w:rFonts w:ascii="宋体" w:hAnsi="宋体" w:eastAsia="宋体" w:cs="宋体"/>
          <w:color w:val="auto"/>
          <w:spacing w:val="11"/>
          <w:sz w:val="24"/>
          <w:szCs w:val="24"/>
          <w:highlight w:val="none"/>
        </w:rPr>
        <w:t>通过“信用中国”网站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、“中国</w:t>
      </w:r>
      <w:r>
        <w:rPr>
          <w:rFonts w:ascii="宋体" w:hAnsi="宋体" w:eastAsia="宋体" w:cs="宋体"/>
          <w:color w:val="auto"/>
          <w:spacing w:val="21"/>
          <w:sz w:val="24"/>
          <w:szCs w:val="24"/>
          <w:highlight w:val="none"/>
        </w:rPr>
        <w:t>政</w:t>
      </w:r>
      <w:r>
        <w:rPr>
          <w:rFonts w:ascii="宋体" w:hAnsi="宋体" w:eastAsia="宋体" w:cs="宋体"/>
          <w:color w:val="auto"/>
          <w:spacing w:val="11"/>
          <w:sz w:val="24"/>
          <w:szCs w:val="24"/>
          <w:highlight w:val="none"/>
        </w:rPr>
        <w:t>府采购网”网站 (</w:t>
      </w:r>
      <w:r>
        <w:rPr>
          <w:rFonts w:ascii="宋体" w:hAnsi="宋体" w:eastAsia="宋体" w:cs="宋体"/>
          <w:color w:val="auto"/>
          <w:sz w:val="24"/>
          <w:szCs w:val="24"/>
          <w:highlight w:val="none"/>
        </w:rPr>
        <w:t>www</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ccgp</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11"/>
          <w:sz w:val="24"/>
          <w:szCs w:val="24"/>
          <w:highlight w:val="none"/>
        </w:rPr>
        <w:t>) 等渠道查询供应商在递交投标文件截止</w:t>
      </w:r>
      <w:r>
        <w:rPr>
          <w:rFonts w:ascii="宋体" w:hAnsi="宋体" w:eastAsia="宋体" w:cs="宋体"/>
          <w:color w:val="auto"/>
          <w:spacing w:val="18"/>
          <w:sz w:val="24"/>
          <w:szCs w:val="24"/>
          <w:highlight w:val="none"/>
        </w:rPr>
        <w:t>之日</w:t>
      </w:r>
      <w:r>
        <w:rPr>
          <w:rFonts w:ascii="宋体" w:hAnsi="宋体" w:eastAsia="宋体" w:cs="宋体"/>
          <w:color w:val="auto"/>
          <w:spacing w:val="9"/>
          <w:sz w:val="24"/>
          <w:szCs w:val="24"/>
          <w:highlight w:val="none"/>
        </w:rPr>
        <w:t>的信用记录并保存信用记录结果网页截图，拒绝列入失信被执行人名单、</w:t>
      </w:r>
      <w:r>
        <w:rPr>
          <w:rFonts w:ascii="宋体" w:hAnsi="宋体" w:eastAsia="宋体" w:cs="宋体"/>
          <w:color w:val="auto"/>
          <w:spacing w:val="10"/>
          <w:sz w:val="24"/>
          <w:szCs w:val="24"/>
          <w:highlight w:val="none"/>
        </w:rPr>
        <w:t>重</w:t>
      </w:r>
      <w:r>
        <w:rPr>
          <w:rFonts w:ascii="宋体" w:hAnsi="宋体" w:eastAsia="宋体" w:cs="宋体"/>
          <w:color w:val="auto"/>
          <w:spacing w:val="7"/>
          <w:sz w:val="24"/>
          <w:szCs w:val="24"/>
          <w:highlight w:val="none"/>
        </w:rPr>
        <w:t>大税收违法案件当事人名单、政府采购严重违法失信行为记录名单中的供应商</w:t>
      </w:r>
      <w:r>
        <w:rPr>
          <w:rFonts w:ascii="宋体" w:hAnsi="宋体" w:eastAsia="宋体" w:cs="宋体"/>
          <w:color w:val="auto"/>
          <w:spacing w:val="11"/>
          <w:sz w:val="24"/>
          <w:szCs w:val="24"/>
          <w:highlight w:val="none"/>
        </w:rPr>
        <w:t>参</w:t>
      </w:r>
      <w:r>
        <w:rPr>
          <w:rFonts w:ascii="宋体" w:hAnsi="宋体" w:eastAsia="宋体" w:cs="宋体"/>
          <w:color w:val="auto"/>
          <w:spacing w:val="6"/>
          <w:sz w:val="24"/>
          <w:szCs w:val="24"/>
          <w:highlight w:val="none"/>
        </w:rPr>
        <w:t>加本项目的采购活动。</w:t>
      </w:r>
      <w:r>
        <w:rPr>
          <w:rFonts w:hint="eastAsia" w:ascii="宋体" w:hAnsi="宋体" w:eastAsia="宋体" w:cs="宋体"/>
          <w:b/>
          <w:bCs/>
          <w:color w:val="auto"/>
          <w:sz w:val="24"/>
          <w:szCs w:val="24"/>
          <w:highlight w:val="none"/>
        </w:rPr>
        <w:t>(此项由招标代理机构查询，投标人不提供证明材料)</w:t>
      </w:r>
    </w:p>
    <w:p w14:paraId="6C7A0983">
      <w:pPr>
        <w:spacing w:line="240" w:lineRule="auto"/>
        <w:ind w:left="28"/>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2</w:t>
      </w: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rPr>
        <w:t>法定代表人/单位负责人身份证明书原件及有效身份证明材料复印件并加盖投标人公章（法定代表人/单位负责人参加投标时提供）；</w:t>
      </w:r>
    </w:p>
    <w:p w14:paraId="4740FECD">
      <w:pPr>
        <w:spacing w:line="240" w:lineRule="auto"/>
        <w:ind w:left="2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.法定代表人/单位负责人有效身份证明材料复印件及授权委托书原件和授权代表有效身份证明材料复印件并加盖投标人公章（委托代理人参加投标时提供）。</w:t>
      </w:r>
    </w:p>
    <w:p w14:paraId="3F2A7E1B">
      <w:pPr>
        <w:spacing w:line="240" w:lineRule="auto"/>
        <w:ind w:left="24" w:right="94" w:hanging="2"/>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lang w:val="en-US" w:eastAsia="zh-CN"/>
        </w:rPr>
        <w:t>4</w:t>
      </w:r>
      <w:r>
        <w:rPr>
          <w:rFonts w:ascii="宋体" w:hAnsi="宋体" w:eastAsia="宋体" w:cs="宋体"/>
          <w:color w:val="auto"/>
          <w:spacing w:val="18"/>
          <w:sz w:val="24"/>
          <w:szCs w:val="24"/>
          <w:highlight w:val="none"/>
        </w:rPr>
        <w:t>、</w:t>
      </w:r>
      <w:r>
        <w:rPr>
          <w:rFonts w:ascii="宋体" w:hAnsi="宋体" w:eastAsia="宋体" w:cs="宋体"/>
          <w:color w:val="auto"/>
          <w:spacing w:val="10"/>
          <w:sz w:val="24"/>
          <w:szCs w:val="24"/>
          <w:highlight w:val="none"/>
        </w:rPr>
        <w:t>按照本项目招标文件的规定获取了招标文件</w:t>
      </w:r>
      <w:r>
        <w:rPr>
          <w:rFonts w:hint="eastAsia" w:ascii="宋体" w:hAnsi="宋体" w:eastAsia="宋体" w:cs="宋体"/>
          <w:b/>
          <w:bCs/>
          <w:color w:val="auto"/>
          <w:sz w:val="24"/>
          <w:szCs w:val="24"/>
          <w:highlight w:val="none"/>
        </w:rPr>
        <w:t xml:space="preserve"> (投标人不需要对本条提供证明材料，由招标代理机构提供投标人获取招标文件情况的材料) 。</w:t>
      </w:r>
    </w:p>
    <w:p w14:paraId="6F9C34EA">
      <w:pPr>
        <w:spacing w:line="240" w:lineRule="auto"/>
        <w:rPr>
          <w:color w:val="auto"/>
          <w:sz w:val="24"/>
          <w:szCs w:val="24"/>
          <w:highlight w:val="none"/>
        </w:rPr>
      </w:pPr>
    </w:p>
    <w:p w14:paraId="6D5CA976">
      <w:pPr>
        <w:spacing w:line="240" w:lineRule="auto"/>
        <w:ind w:left="23" w:right="96" w:firstLine="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注意：1、本章要求投标人提供的资格证明材料必须加盖投标人印章(鲜章)。</w:t>
      </w:r>
    </w:p>
    <w:p w14:paraId="09F22679">
      <w:pPr>
        <w:spacing w:line="240" w:lineRule="auto"/>
        <w:ind w:left="23" w:right="96" w:firstLine="4"/>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2、投标人应对其所提供的资格证明材料的来源的合法性、真实性负责。</w:t>
      </w:r>
    </w:p>
    <w:p w14:paraId="5F8A0AFD">
      <w:pPr>
        <w:spacing w:line="240" w:lineRule="auto"/>
        <w:rPr>
          <w:color w:val="auto"/>
          <w:highlight w:val="none"/>
        </w:rPr>
        <w:sectPr>
          <w:headerReference r:id="rId40" w:type="default"/>
          <w:footerReference r:id="rId41" w:type="default"/>
          <w:pgSz w:w="11905" w:h="16838"/>
          <w:pgMar w:top="1417" w:right="1417" w:bottom="1417" w:left="1417" w:header="0" w:footer="1134" w:gutter="0"/>
          <w:pgNumType w:fmt="decimal"/>
          <w:cols w:space="0" w:num="1"/>
        </w:sectPr>
      </w:pPr>
    </w:p>
    <w:p w14:paraId="45AF7A3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3" w:name="_Toc860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第六章 招标项目技术、服务及商务要求</w:t>
      </w:r>
      <w:bookmarkEnd w:id="163"/>
    </w:p>
    <w:p w14:paraId="267F3A53">
      <w:pPr>
        <w:spacing w:line="240" w:lineRule="auto"/>
        <w:ind w:firstLine="480"/>
        <w:rPr>
          <w:rFonts w:asciiTheme="minorEastAsia" w:hAnsiTheme="minorEastAsia" w:eastAsiaTheme="minorEastAsia"/>
          <w:color w:val="auto"/>
          <w:szCs w:val="24"/>
          <w:highlight w:val="none"/>
        </w:rPr>
      </w:pPr>
    </w:p>
    <w:p w14:paraId="2EB5A543">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4" w:name="_Toc213"/>
      <w:bookmarkStart w:id="165" w:name="_Toc2090"/>
      <w:r>
        <w:rPr>
          <w:rFonts w:hint="eastAsia" w:ascii="宋体" w:hAnsi="宋体" w:eastAsia="宋体" w:cs="Times New Roman"/>
          <w:b/>
          <w:bCs/>
          <w:color w:val="auto"/>
          <w:kern w:val="44"/>
          <w:sz w:val="23"/>
          <w:szCs w:val="23"/>
          <w:highlight w:val="none"/>
        </w:rPr>
        <w:t>项目概况</w:t>
      </w:r>
      <w:bookmarkEnd w:id="164"/>
      <w:bookmarkEnd w:id="165"/>
    </w:p>
    <w:p w14:paraId="248662C8">
      <w:pPr>
        <w:spacing w:line="240" w:lineRule="auto"/>
        <w:ind w:left="24" w:right="13" w:firstLine="471"/>
        <w:rPr>
          <w:color w:val="auto"/>
          <w:sz w:val="23"/>
          <w:szCs w:val="23"/>
          <w:highlight w:val="none"/>
        </w:rPr>
      </w:pPr>
      <w:r>
        <w:rPr>
          <w:rFonts w:hint="eastAsia" w:ascii="宋体" w:hAnsi="宋体" w:eastAsia="宋体" w:cs="宋体"/>
          <w:bCs/>
          <w:color w:val="auto"/>
          <w:kern w:val="0"/>
          <w:sz w:val="23"/>
          <w:szCs w:val="23"/>
          <w:highlight w:val="none"/>
          <w:lang w:val="en-US" w:eastAsia="zh-CN"/>
        </w:rPr>
        <w:t>成都市技师学院（成都工贸职业技术学院）路桥工程施工技术仿真系统采购项目具体包含：路桥施工实训云平台、路桥施工专业知识问答模拟模块、路桥施工工艺模拟实操模块、路桥施工组织管理案例实操管理模块4部分。本项目旨在通过路桥施工仿真系统的搭建，满足我校铁道工程技术专业群路桥类课程基本教学、专业技能实训及全国路桥施工类技能大赛要求，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55FF0FF8">
      <w:pPr>
        <w:keepNext/>
        <w:keepLines/>
        <w:widowControl w:val="0"/>
        <w:numPr>
          <w:ilvl w:val="0"/>
          <w:numId w:val="5"/>
        </w:numPr>
        <w:spacing w:before="340" w:after="330" w:line="240" w:lineRule="auto"/>
        <w:outlineLvl w:val="1"/>
        <w:rPr>
          <w:rFonts w:ascii="宋体" w:hAnsi="宋体" w:eastAsia="宋体" w:cs="Times New Roman"/>
          <w:b/>
          <w:bCs/>
          <w:color w:val="auto"/>
          <w:kern w:val="44"/>
          <w:sz w:val="23"/>
          <w:szCs w:val="23"/>
          <w:highlight w:val="none"/>
        </w:rPr>
      </w:pPr>
      <w:bookmarkStart w:id="166" w:name="_Toc26284"/>
      <w:r>
        <w:rPr>
          <w:rFonts w:hint="eastAsia" w:ascii="宋体" w:hAnsi="宋体" w:eastAsia="宋体" w:cs="Times New Roman"/>
          <w:b/>
          <w:bCs/>
          <w:color w:val="auto"/>
          <w:kern w:val="44"/>
          <w:sz w:val="23"/>
          <w:szCs w:val="23"/>
          <w:highlight w:val="none"/>
        </w:rPr>
        <w:t>★</w:t>
      </w:r>
      <w:r>
        <w:rPr>
          <w:rFonts w:hint="eastAsia" w:ascii="宋体" w:hAnsi="宋体" w:eastAsia="宋体" w:cs="Times New Roman"/>
          <w:b/>
          <w:bCs/>
          <w:color w:val="auto"/>
          <w:kern w:val="44"/>
          <w:sz w:val="23"/>
          <w:szCs w:val="23"/>
          <w:highlight w:val="none"/>
          <w:lang w:val="en-US" w:eastAsia="zh-CN"/>
        </w:rPr>
        <w:t>采购范围及内容</w:t>
      </w:r>
      <w:bookmarkEnd w:id="166"/>
    </w:p>
    <w:tbl>
      <w:tblPr>
        <w:tblStyle w:val="18"/>
        <w:tblpPr w:leftFromText="180" w:rightFromText="180" w:vertAnchor="text" w:horzAnchor="page" w:tblpX="1574" w:tblpY="306"/>
        <w:tblOverlap w:val="never"/>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432"/>
        <w:gridCol w:w="780"/>
        <w:gridCol w:w="720"/>
        <w:gridCol w:w="2235"/>
        <w:gridCol w:w="945"/>
        <w:gridCol w:w="1020"/>
      </w:tblGrid>
      <w:tr w14:paraId="1090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95" w:type="dxa"/>
            <w:noWrap w:val="0"/>
            <w:vAlign w:val="center"/>
          </w:tcPr>
          <w:p w14:paraId="0122FDA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序号</w:t>
            </w:r>
          </w:p>
        </w:tc>
        <w:tc>
          <w:tcPr>
            <w:tcW w:w="2432" w:type="dxa"/>
            <w:noWrap w:val="0"/>
            <w:vAlign w:val="center"/>
          </w:tcPr>
          <w:p w14:paraId="34C3671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标的名称</w:t>
            </w:r>
          </w:p>
        </w:tc>
        <w:tc>
          <w:tcPr>
            <w:tcW w:w="780" w:type="dxa"/>
            <w:noWrap w:val="0"/>
            <w:vAlign w:val="center"/>
          </w:tcPr>
          <w:p w14:paraId="6F9026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rPr>
              <w:t>计量单位</w:t>
            </w:r>
          </w:p>
        </w:tc>
        <w:tc>
          <w:tcPr>
            <w:tcW w:w="720" w:type="dxa"/>
            <w:noWrap w:val="0"/>
            <w:vAlign w:val="center"/>
          </w:tcPr>
          <w:p w14:paraId="53A67E8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数量</w:t>
            </w:r>
          </w:p>
        </w:tc>
        <w:tc>
          <w:tcPr>
            <w:tcW w:w="2235" w:type="dxa"/>
            <w:noWrap w:val="0"/>
            <w:vAlign w:val="center"/>
          </w:tcPr>
          <w:p w14:paraId="2FCB9D3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lang w:val="en-US" w:eastAsia="zh-CN"/>
              </w:rPr>
              <w:t>所属</w:t>
            </w:r>
          </w:p>
          <w:p w14:paraId="03CD6A6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lang w:val="en-US" w:eastAsia="zh-CN"/>
              </w:rPr>
              <w:t>行业</w:t>
            </w:r>
          </w:p>
        </w:tc>
        <w:tc>
          <w:tcPr>
            <w:tcW w:w="945" w:type="dxa"/>
            <w:noWrap w:val="0"/>
            <w:vAlign w:val="center"/>
          </w:tcPr>
          <w:p w14:paraId="70A4FB4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lang w:val="en-US" w:eastAsia="zh-CN"/>
              </w:rPr>
              <w:t>是否核心产品</w:t>
            </w:r>
          </w:p>
        </w:tc>
        <w:tc>
          <w:tcPr>
            <w:tcW w:w="1020" w:type="dxa"/>
            <w:noWrap w:val="0"/>
            <w:vAlign w:val="center"/>
          </w:tcPr>
          <w:p w14:paraId="0DE29ED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t>是否</w:t>
            </w:r>
          </w:p>
          <w:p w14:paraId="1046D5F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snapToGrid/>
                <w:color w:val="auto"/>
                <w:kern w:val="2"/>
                <w:sz w:val="21"/>
                <w:szCs w:val="21"/>
                <w:highlight w:val="none"/>
                <w:lang w:val="en-US" w:eastAsia="zh-CN"/>
              </w:rPr>
            </w:pPr>
            <w:r>
              <w:rPr>
                <w:rFonts w:hint="eastAsia" w:ascii="宋体" w:hAnsi="宋体" w:eastAsia="宋体" w:cs="宋体"/>
                <w:b/>
                <w:bCs w:val="0"/>
                <w:i w:val="0"/>
                <w:iCs w:val="0"/>
                <w:snapToGrid/>
                <w:color w:val="auto"/>
                <w:kern w:val="2"/>
                <w:sz w:val="21"/>
                <w:szCs w:val="21"/>
                <w:highlight w:val="none"/>
              </w:rPr>
              <w:t>进口</w:t>
            </w:r>
          </w:p>
        </w:tc>
      </w:tr>
      <w:tr w14:paraId="5B7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95" w:type="dxa"/>
            <w:noWrap w:val="0"/>
            <w:vAlign w:val="center"/>
          </w:tcPr>
          <w:p w14:paraId="7499B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1</w:t>
            </w:r>
          </w:p>
        </w:tc>
        <w:tc>
          <w:tcPr>
            <w:tcW w:w="2432" w:type="dxa"/>
            <w:noWrap w:val="0"/>
            <w:vAlign w:val="center"/>
          </w:tcPr>
          <w:p w14:paraId="78FCFA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bCs w:val="0"/>
                <w:snapToGrid/>
                <w:spacing w:val="-3"/>
                <w:kern w:val="0"/>
                <w:sz w:val="21"/>
                <w:szCs w:val="21"/>
                <w:highlight w:val="none"/>
                <w:u w:val="none"/>
                <w:lang w:val="en-US" w:eastAsia="zh-Hans"/>
              </w:rPr>
              <w:t>路桥施工</w:t>
            </w:r>
            <w:r>
              <w:rPr>
                <w:rFonts w:hint="eastAsia" w:ascii="宋体" w:hAnsi="宋体" w:eastAsia="宋体" w:cs="宋体"/>
                <w:snapToGrid/>
                <w:spacing w:val="-3"/>
                <w:kern w:val="0"/>
                <w:sz w:val="21"/>
                <w:szCs w:val="21"/>
                <w:lang w:val="en-US" w:eastAsia="zh-Hans" w:bidi="ar-SA"/>
              </w:rPr>
              <w:t>实训云平台</w:t>
            </w:r>
          </w:p>
        </w:tc>
        <w:tc>
          <w:tcPr>
            <w:tcW w:w="780" w:type="dxa"/>
            <w:noWrap w:val="0"/>
            <w:vAlign w:val="center"/>
          </w:tcPr>
          <w:p w14:paraId="5FD763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套</w:t>
            </w:r>
          </w:p>
        </w:tc>
        <w:tc>
          <w:tcPr>
            <w:tcW w:w="720" w:type="dxa"/>
            <w:noWrap w:val="0"/>
            <w:vAlign w:val="center"/>
          </w:tcPr>
          <w:p w14:paraId="0B6037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1</w:t>
            </w:r>
          </w:p>
        </w:tc>
        <w:tc>
          <w:tcPr>
            <w:tcW w:w="2235" w:type="dxa"/>
            <w:noWrap w:val="0"/>
            <w:vAlign w:val="center"/>
          </w:tcPr>
          <w:p w14:paraId="3FCE3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Han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4A8F25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469A1C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765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6B4F4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2</w:t>
            </w:r>
          </w:p>
        </w:tc>
        <w:tc>
          <w:tcPr>
            <w:tcW w:w="2432" w:type="dxa"/>
            <w:noWrap w:val="0"/>
            <w:vAlign w:val="center"/>
          </w:tcPr>
          <w:p w14:paraId="656040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路桥施工</w:t>
            </w:r>
            <w:r>
              <w:rPr>
                <w:rFonts w:hint="eastAsia" w:ascii="宋体" w:hAnsi="宋体" w:eastAsia="宋体" w:cs="宋体"/>
                <w:snapToGrid/>
                <w:spacing w:val="-3"/>
                <w:kern w:val="0"/>
                <w:sz w:val="21"/>
                <w:szCs w:val="21"/>
                <w:lang w:val="en-AU" w:eastAsia="en-US" w:bidi="ar-SA"/>
              </w:rPr>
              <w:t>专业知识问答模拟</w:t>
            </w:r>
            <w:r>
              <w:rPr>
                <w:rFonts w:hint="eastAsia" w:ascii="宋体" w:hAnsi="宋体" w:eastAsia="宋体" w:cs="宋体"/>
                <w:snapToGrid/>
                <w:spacing w:val="-3"/>
                <w:kern w:val="0"/>
                <w:sz w:val="21"/>
                <w:szCs w:val="21"/>
                <w:lang w:val="en-US" w:eastAsia="zh-Hans" w:bidi="ar-SA"/>
              </w:rPr>
              <w:t>模块</w:t>
            </w:r>
          </w:p>
        </w:tc>
        <w:tc>
          <w:tcPr>
            <w:tcW w:w="780" w:type="dxa"/>
            <w:noWrap w:val="0"/>
            <w:vAlign w:val="center"/>
          </w:tcPr>
          <w:p w14:paraId="5D6CAE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22BD4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7B2E5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4870AB4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082E97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lang w:val="en-US" w:eastAsia="zh-CN" w:bidi="ar-SA"/>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754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0DDAD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3</w:t>
            </w:r>
          </w:p>
        </w:tc>
        <w:tc>
          <w:tcPr>
            <w:tcW w:w="2432" w:type="dxa"/>
            <w:noWrap w:val="0"/>
            <w:vAlign w:val="center"/>
          </w:tcPr>
          <w:p w14:paraId="208870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施工工艺模拟实操模块</w:t>
            </w:r>
          </w:p>
        </w:tc>
        <w:tc>
          <w:tcPr>
            <w:tcW w:w="780" w:type="dxa"/>
            <w:noWrap w:val="0"/>
            <w:vAlign w:val="center"/>
          </w:tcPr>
          <w:p w14:paraId="430DF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285241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4A90B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720C588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bCs w:val="0"/>
                <w:i w:val="0"/>
                <w:iCs w:val="0"/>
                <w:snapToGrid/>
                <w:color w:val="auto"/>
                <w:kern w:val="2"/>
                <w:sz w:val="21"/>
                <w:szCs w:val="21"/>
                <w:highlight w:val="none"/>
              </w:rPr>
              <w:sym w:font="Wingdings 2" w:char="0052"/>
            </w:r>
            <w:r>
              <w:rPr>
                <w:rFonts w:hint="eastAsia" w:ascii="宋体" w:hAnsi="宋体" w:eastAsia="宋体" w:cs="宋体"/>
                <w:b/>
                <w:bCs w:val="0"/>
                <w:i w:val="0"/>
                <w:iCs w:val="0"/>
                <w:snapToGrid/>
                <w:color w:val="auto"/>
                <w:kern w:val="2"/>
                <w:sz w:val="21"/>
                <w:szCs w:val="21"/>
                <w:highlight w:val="none"/>
              </w:rPr>
              <w:t>是</w:t>
            </w:r>
          </w:p>
        </w:tc>
        <w:tc>
          <w:tcPr>
            <w:tcW w:w="1020" w:type="dxa"/>
            <w:noWrap w:val="0"/>
            <w:vAlign w:val="center"/>
          </w:tcPr>
          <w:p w14:paraId="1690B07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r w14:paraId="3AB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95" w:type="dxa"/>
            <w:noWrap w:val="0"/>
            <w:vAlign w:val="center"/>
          </w:tcPr>
          <w:p w14:paraId="5494B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US" w:eastAsia="zh-CN" w:bidi="ar-SA"/>
              </w:rPr>
            </w:pPr>
            <w:r>
              <w:rPr>
                <w:rFonts w:hint="eastAsia" w:ascii="宋体" w:hAnsi="宋体" w:eastAsia="宋体" w:cs="宋体"/>
                <w:snapToGrid/>
                <w:spacing w:val="-3"/>
                <w:kern w:val="0"/>
                <w:sz w:val="21"/>
                <w:szCs w:val="21"/>
                <w:lang w:val="en-US" w:eastAsia="zh-CN" w:bidi="ar-SA"/>
              </w:rPr>
              <w:t>4</w:t>
            </w:r>
          </w:p>
        </w:tc>
        <w:tc>
          <w:tcPr>
            <w:tcW w:w="2432" w:type="dxa"/>
            <w:noWrap w:val="0"/>
            <w:vAlign w:val="center"/>
          </w:tcPr>
          <w:p w14:paraId="36EF9D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施工组织管理案例实操管理模块</w:t>
            </w:r>
          </w:p>
        </w:tc>
        <w:tc>
          <w:tcPr>
            <w:tcW w:w="780" w:type="dxa"/>
            <w:noWrap w:val="0"/>
            <w:vAlign w:val="center"/>
          </w:tcPr>
          <w:p w14:paraId="5DE79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节点</w:t>
            </w:r>
          </w:p>
        </w:tc>
        <w:tc>
          <w:tcPr>
            <w:tcW w:w="720" w:type="dxa"/>
            <w:noWrap w:val="0"/>
            <w:vAlign w:val="center"/>
          </w:tcPr>
          <w:p w14:paraId="47F89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CN" w:bidi="ar-SA"/>
              </w:rPr>
              <w:t>50</w:t>
            </w:r>
          </w:p>
        </w:tc>
        <w:tc>
          <w:tcPr>
            <w:tcW w:w="2235" w:type="dxa"/>
            <w:noWrap w:val="0"/>
            <w:vAlign w:val="center"/>
          </w:tcPr>
          <w:p w14:paraId="39043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spacing w:val="-3"/>
                <w:kern w:val="0"/>
                <w:sz w:val="21"/>
                <w:szCs w:val="21"/>
                <w:lang w:val="en-AU" w:eastAsia="en-US" w:bidi="ar-SA"/>
              </w:rPr>
            </w:pPr>
            <w:r>
              <w:rPr>
                <w:rFonts w:hint="eastAsia" w:ascii="宋体" w:hAnsi="宋体" w:eastAsia="宋体" w:cs="宋体"/>
                <w:snapToGrid/>
                <w:spacing w:val="-3"/>
                <w:kern w:val="0"/>
                <w:sz w:val="21"/>
                <w:szCs w:val="21"/>
                <w:lang w:val="en-US" w:eastAsia="zh-Hans" w:bidi="ar-SA"/>
              </w:rPr>
              <w:t>软件和信息技术服务业</w:t>
            </w:r>
          </w:p>
        </w:tc>
        <w:tc>
          <w:tcPr>
            <w:tcW w:w="945" w:type="dxa"/>
            <w:noWrap w:val="0"/>
            <w:vAlign w:val="center"/>
          </w:tcPr>
          <w:p w14:paraId="05FA5E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c>
          <w:tcPr>
            <w:tcW w:w="1020" w:type="dxa"/>
            <w:noWrap w:val="0"/>
            <w:vAlign w:val="center"/>
          </w:tcPr>
          <w:p w14:paraId="069BEC0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snapToGrid/>
                <w:color w:val="auto"/>
                <w:kern w:val="2"/>
                <w:sz w:val="21"/>
                <w:szCs w:val="21"/>
                <w:highlight w:val="none"/>
              </w:rPr>
            </w:pPr>
            <w:r>
              <w:rPr>
                <w:rFonts w:hint="eastAsia" w:ascii="宋体" w:hAnsi="宋体" w:eastAsia="宋体" w:cs="宋体"/>
                <w:b w:val="0"/>
                <w:bCs/>
                <w:i w:val="0"/>
                <w:iCs w:val="0"/>
                <w:snapToGrid/>
                <w:color w:val="auto"/>
                <w:kern w:val="2"/>
                <w:sz w:val="21"/>
                <w:szCs w:val="21"/>
                <w:highlight w:val="none"/>
              </w:rPr>
              <w:sym w:font="Wingdings 2" w:char="0052"/>
            </w:r>
            <w:r>
              <w:rPr>
                <w:rFonts w:hint="eastAsia" w:ascii="宋体" w:hAnsi="宋体" w:eastAsia="宋体" w:cs="宋体"/>
                <w:b w:val="0"/>
                <w:bCs/>
                <w:i w:val="0"/>
                <w:iCs w:val="0"/>
                <w:snapToGrid/>
                <w:color w:val="auto"/>
                <w:kern w:val="2"/>
                <w:sz w:val="21"/>
                <w:szCs w:val="21"/>
                <w:highlight w:val="none"/>
              </w:rPr>
              <w:t>否</w:t>
            </w:r>
          </w:p>
        </w:tc>
      </w:tr>
    </w:tbl>
    <w:p w14:paraId="6B295612">
      <w:pPr>
        <w:keepNext/>
        <w:keepLines/>
        <w:widowControl w:val="0"/>
        <w:numPr>
          <w:ilvl w:val="0"/>
          <w:numId w:val="0"/>
        </w:numPr>
        <w:spacing w:before="340" w:after="330" w:line="240" w:lineRule="auto"/>
        <w:ind w:left="210" w:leftChars="0"/>
        <w:outlineLvl w:val="9"/>
        <w:rPr>
          <w:rFonts w:hint="eastAsia" w:ascii="宋体" w:hAnsi="宋体" w:eastAsia="宋体" w:cs="宋体"/>
          <w:b/>
          <w:bCs/>
          <w:color w:val="auto"/>
          <w:kern w:val="44"/>
          <w:sz w:val="23"/>
          <w:szCs w:val="23"/>
          <w:highlight w:val="none"/>
        </w:rPr>
      </w:pPr>
    </w:p>
    <w:p w14:paraId="4BEDD15A">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3"/>
          <w:szCs w:val="23"/>
          <w:highlight w:val="none"/>
          <w:lang w:val="en-US" w:eastAsia="zh-CN"/>
        </w:rPr>
      </w:pPr>
      <w:bookmarkStart w:id="167" w:name="_Toc8745"/>
      <w:r>
        <w:rPr>
          <w:rFonts w:hint="eastAsia" w:ascii="宋体" w:hAnsi="宋体" w:eastAsia="宋体" w:cs="宋体"/>
          <w:b/>
          <w:bCs/>
          <w:color w:val="auto"/>
          <w:kern w:val="44"/>
          <w:sz w:val="23"/>
          <w:szCs w:val="23"/>
          <w:highlight w:val="none"/>
          <w:lang w:val="en-US" w:eastAsia="zh-CN"/>
        </w:rPr>
        <w:t>技术要求（功能和质量要求）</w:t>
      </w:r>
      <w:bookmarkEnd w:id="167"/>
    </w:p>
    <w:tbl>
      <w:tblPr>
        <w:tblStyle w:val="19"/>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6915"/>
      </w:tblGrid>
      <w:tr w14:paraId="417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21203FA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i w:val="0"/>
                <w:iCs w:val="0"/>
                <w:color w:val="auto"/>
                <w:kern w:val="2"/>
                <w:sz w:val="21"/>
                <w:szCs w:val="21"/>
                <w:highlight w:val="none"/>
                <w:lang w:val="en-US" w:eastAsia="zh-CN" w:bidi="ar-SA"/>
              </w:rPr>
            </w:pPr>
            <w:r>
              <w:rPr>
                <w:rFonts w:hint="eastAsia" w:ascii="宋体" w:hAnsi="宋体" w:eastAsia="宋体" w:cs="宋体"/>
                <w:b/>
                <w:bCs w:val="0"/>
                <w:i w:val="0"/>
                <w:iCs w:val="0"/>
                <w:color w:val="auto"/>
                <w:sz w:val="21"/>
                <w:szCs w:val="21"/>
                <w:highlight w:val="none"/>
              </w:rPr>
              <w:t>序号</w:t>
            </w:r>
          </w:p>
        </w:tc>
        <w:tc>
          <w:tcPr>
            <w:tcW w:w="1272" w:type="dxa"/>
            <w:noWrap w:val="0"/>
            <w:vAlign w:val="center"/>
          </w:tcPr>
          <w:p w14:paraId="0308F0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i w:val="0"/>
                <w:iCs w:val="0"/>
                <w:color w:val="auto"/>
                <w:kern w:val="2"/>
                <w:sz w:val="21"/>
                <w:szCs w:val="21"/>
                <w:highlight w:val="none"/>
                <w:lang w:val="en-US" w:eastAsia="zh-CN" w:bidi="ar-SA"/>
              </w:rPr>
            </w:pPr>
            <w:r>
              <w:rPr>
                <w:rFonts w:hint="eastAsia" w:ascii="宋体" w:hAnsi="宋体" w:eastAsia="宋体" w:cs="宋体"/>
                <w:b/>
                <w:bCs w:val="0"/>
                <w:i w:val="0"/>
                <w:iCs w:val="0"/>
                <w:color w:val="auto"/>
                <w:sz w:val="21"/>
                <w:szCs w:val="21"/>
                <w:highlight w:val="none"/>
              </w:rPr>
              <w:t>标的名称</w:t>
            </w:r>
          </w:p>
        </w:tc>
        <w:tc>
          <w:tcPr>
            <w:tcW w:w="6915" w:type="dxa"/>
            <w:noWrap w:val="0"/>
            <w:vAlign w:val="top"/>
          </w:tcPr>
          <w:p w14:paraId="5935223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val="0"/>
                <w:i w:val="0"/>
                <w:iCs w:val="0"/>
                <w:color w:val="auto"/>
                <w:sz w:val="21"/>
                <w:szCs w:val="21"/>
                <w:highlight w:val="none"/>
                <w:lang w:val="en-US" w:eastAsia="zh-CN"/>
              </w:rPr>
              <w:t>货物类：技术参数及要求</w:t>
            </w:r>
          </w:p>
        </w:tc>
      </w:tr>
      <w:tr w14:paraId="0D6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01204CB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1</w:t>
            </w:r>
          </w:p>
        </w:tc>
        <w:tc>
          <w:tcPr>
            <w:tcW w:w="1272" w:type="dxa"/>
            <w:noWrap w:val="0"/>
            <w:vAlign w:val="center"/>
          </w:tcPr>
          <w:p w14:paraId="1A166E9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Cs w:val="0"/>
                <w:spacing w:val="-3"/>
                <w:kern w:val="0"/>
                <w:sz w:val="21"/>
                <w:szCs w:val="21"/>
                <w:u w:val="none"/>
                <w:lang w:val="en-US" w:eastAsia="zh-Hans"/>
              </w:rPr>
              <w:t>路桥施工</w:t>
            </w:r>
            <w:r>
              <w:rPr>
                <w:rFonts w:hint="eastAsia" w:ascii="宋体" w:hAnsi="宋体" w:eastAsia="宋体" w:cs="宋体"/>
                <w:b w:val="0"/>
                <w:bCs/>
                <w:sz w:val="21"/>
                <w:szCs w:val="21"/>
                <w:lang w:val="en-US" w:eastAsia="zh-Hans"/>
              </w:rPr>
              <w:t>实训云平台</w:t>
            </w:r>
          </w:p>
        </w:tc>
        <w:tc>
          <w:tcPr>
            <w:tcW w:w="6915" w:type="dxa"/>
            <w:noWrap w:val="0"/>
            <w:vAlign w:val="top"/>
          </w:tcPr>
          <w:p w14:paraId="75931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b w:val="0"/>
                <w:bCs w:val="0"/>
                <w:sz w:val="21"/>
                <w:szCs w:val="21"/>
                <w:lang w:val="en-US" w:eastAsia="zh-CN"/>
              </w:rPr>
              <w:t>1.</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基于互联网微服务的框架设计，使其对内容的抽取和新增无需中断整个平台运行，随时对行业新内容和新技术进行实时升级扩展。</w:t>
            </w:r>
          </w:p>
          <w:p w14:paraId="5267B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采用统一的服务注册中心，不同地域的各个节点启动后都可注册到服务中心，通过心跳检查、</w:t>
            </w:r>
            <w:r>
              <w:rPr>
                <w:rFonts w:hint="eastAsia" w:ascii="宋体" w:hAnsi="宋体" w:eastAsia="宋体" w:cs="宋体"/>
                <w:spacing w:val="-3"/>
                <w:kern w:val="0"/>
                <w:sz w:val="21"/>
                <w:szCs w:val="21"/>
                <w:lang w:val="en-AU" w:eastAsia="en-US" w:bidi="ar-SA"/>
              </w:rPr>
              <w:fldChar w:fldCharType="begin"/>
            </w:r>
            <w:r>
              <w:rPr>
                <w:rFonts w:hint="eastAsia" w:ascii="宋体" w:hAnsi="宋体" w:eastAsia="宋体" w:cs="宋体"/>
                <w:spacing w:val="-3"/>
                <w:kern w:val="0"/>
                <w:sz w:val="21"/>
                <w:szCs w:val="21"/>
                <w:lang w:val="en-AU" w:eastAsia="en-US" w:bidi="ar-SA"/>
              </w:rPr>
              <w:instrText xml:space="preserve"> HYPERLINK "https://baike.baidu.com/item/%E5%AE%A2%E6%88%B7%E7%AB%AF%E7%BC%93%E5%AD%98/10237000" \t "_blank" </w:instrText>
            </w:r>
            <w:r>
              <w:rPr>
                <w:rFonts w:hint="eastAsia" w:ascii="宋体" w:hAnsi="宋体" w:eastAsia="宋体" w:cs="宋体"/>
                <w:spacing w:val="-3"/>
                <w:kern w:val="0"/>
                <w:sz w:val="21"/>
                <w:szCs w:val="21"/>
                <w:lang w:val="en-AU" w:eastAsia="en-US" w:bidi="ar-SA"/>
              </w:rPr>
              <w:fldChar w:fldCharType="separate"/>
            </w:r>
            <w:r>
              <w:rPr>
                <w:rFonts w:hint="eastAsia" w:ascii="宋体" w:hAnsi="宋体" w:eastAsia="宋体" w:cs="宋体"/>
                <w:spacing w:val="-3"/>
                <w:kern w:val="0"/>
                <w:sz w:val="21"/>
                <w:szCs w:val="21"/>
                <w:lang w:val="en-AU" w:eastAsia="en-US" w:bidi="ar-SA"/>
              </w:rPr>
              <w:t>客户端缓存</w:t>
            </w:r>
            <w:r>
              <w:rPr>
                <w:rFonts w:hint="eastAsia" w:ascii="宋体" w:hAnsi="宋体" w:eastAsia="宋体" w:cs="宋体"/>
                <w:spacing w:val="-3"/>
                <w:kern w:val="0"/>
                <w:sz w:val="21"/>
                <w:szCs w:val="21"/>
                <w:lang w:val="en-AU" w:eastAsia="en-US" w:bidi="ar-SA"/>
              </w:rPr>
              <w:fldChar w:fldCharType="end"/>
            </w:r>
            <w:r>
              <w:rPr>
                <w:rFonts w:hint="eastAsia" w:ascii="宋体" w:hAnsi="宋体" w:eastAsia="宋体" w:cs="宋体"/>
                <w:spacing w:val="-3"/>
                <w:kern w:val="0"/>
                <w:sz w:val="21"/>
                <w:szCs w:val="21"/>
                <w:lang w:val="en-AU" w:eastAsia="en-US" w:bidi="ar-SA"/>
              </w:rPr>
              <w:t>等机制确保了平台的高可用性、灵活性和可伸缩性。</w:t>
            </w:r>
          </w:p>
          <w:p w14:paraId="18FD1E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平台</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采用高性能的web服务器，SSL服务传输协议，能够支持</w:t>
            </w:r>
            <w:r>
              <w:rPr>
                <w:rFonts w:hint="eastAsia" w:ascii="宋体" w:hAnsi="宋体" w:eastAsia="宋体" w:cs="宋体"/>
                <w:spacing w:val="-3"/>
                <w:kern w:val="0"/>
                <w:sz w:val="21"/>
                <w:szCs w:val="21"/>
                <w:lang w:val="en-US" w:eastAsia="zh-CN" w:bidi="ar-SA"/>
              </w:rPr>
              <w:t>不低于</w:t>
            </w:r>
            <w:r>
              <w:rPr>
                <w:rFonts w:hint="eastAsia" w:ascii="宋体" w:hAnsi="宋体" w:eastAsia="宋体" w:cs="宋体"/>
                <w:spacing w:val="-3"/>
                <w:kern w:val="0"/>
                <w:sz w:val="21"/>
                <w:szCs w:val="21"/>
                <w:lang w:val="en-AU" w:eastAsia="en-US" w:bidi="ar-SA"/>
              </w:rPr>
              <w:t xml:space="preserve"> 50,000 个并发连接数的响应，负载均衡为客户端提供统一的入口，并根据负载均衡的规则和配置，路由到不同的服务器。保证不间断的提供服务。</w:t>
            </w:r>
          </w:p>
          <w:p w14:paraId="4871A2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统一认证中心将来自web和app的用户访问请求通过合法授权和认证后方可访问服务，拦截非法用户，保障服务安全和数据安全。平台管理和维护</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采用前后端分离模式。</w:t>
            </w:r>
          </w:p>
          <w:p w14:paraId="5F29E47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w:t>
            </w:r>
            <w:r>
              <w:rPr>
                <w:rFonts w:hint="eastAsia" w:ascii="宋体" w:hAnsi="宋体" w:eastAsia="宋体" w:cs="宋体"/>
                <w:spacing w:val="-3"/>
                <w:kern w:val="0"/>
                <w:sz w:val="21"/>
                <w:szCs w:val="21"/>
                <w:lang w:val="en-AU" w:eastAsia="en-US" w:bidi="ar-SA"/>
              </w:rPr>
              <w:t>视频</w:t>
            </w:r>
            <w:r>
              <w:rPr>
                <w:rFonts w:hint="eastAsia" w:ascii="宋体" w:hAnsi="宋体" w:eastAsia="宋体" w:cs="宋体"/>
                <w:spacing w:val="-3"/>
                <w:kern w:val="0"/>
                <w:sz w:val="21"/>
                <w:szCs w:val="21"/>
                <w:lang w:val="en-US" w:eastAsia="zh-Hans" w:bidi="ar-SA"/>
              </w:rPr>
              <w:t>需</w:t>
            </w:r>
            <w:r>
              <w:rPr>
                <w:rFonts w:hint="eastAsia" w:ascii="宋体" w:hAnsi="宋体" w:eastAsia="宋体" w:cs="宋体"/>
                <w:spacing w:val="-3"/>
                <w:kern w:val="0"/>
                <w:sz w:val="21"/>
                <w:szCs w:val="21"/>
                <w:lang w:val="en-AU" w:eastAsia="en-US" w:bidi="ar-SA"/>
              </w:rPr>
              <w:t>支持mp4等主流视频格式，根据网络带宽提供从流畅到高清级别的清晰度，采用视频切片技术、分段存储，保障原视频的完整性，视频播放屏蔽原视频地址，防止非法用户盗用和下载视频。</w:t>
            </w:r>
          </w:p>
          <w:p w14:paraId="1387B4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6.</w:t>
            </w:r>
            <w:r>
              <w:rPr>
                <w:rFonts w:hint="eastAsia" w:ascii="宋体" w:hAnsi="宋体" w:eastAsia="宋体" w:cs="宋体"/>
                <w:spacing w:val="-3"/>
                <w:kern w:val="0"/>
                <w:sz w:val="21"/>
                <w:szCs w:val="21"/>
                <w:lang w:val="en-AU" w:eastAsia="en-US" w:bidi="ar-SA"/>
              </w:rPr>
              <w:t>平台包含应用层、服务层、数据层、资源层等应用服务层级</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实现互联网部署方式</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US" w:eastAsia="zh-Hans" w:bidi="ar-SA"/>
              </w:rPr>
              <w:t>平台</w:t>
            </w:r>
            <w:r>
              <w:rPr>
                <w:rFonts w:hint="eastAsia" w:ascii="宋体" w:hAnsi="宋体" w:eastAsia="宋体" w:cs="宋体"/>
                <w:spacing w:val="-3"/>
                <w:kern w:val="0"/>
                <w:sz w:val="21"/>
                <w:szCs w:val="21"/>
                <w:lang w:val="en-US" w:eastAsia="zh-CN" w:bidi="ar-SA"/>
              </w:rPr>
              <w:t>支持不低于3个教师账号和50个应用用户账号并发使用。</w:t>
            </w:r>
          </w:p>
          <w:p w14:paraId="3243731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u w:val="none"/>
                <w:lang w:val="en-AU" w:eastAsia="en-US" w:bidi="ar-SA"/>
              </w:rPr>
              <w:t>.平台</w:t>
            </w:r>
            <w:r>
              <w:rPr>
                <w:rFonts w:hint="eastAsia" w:ascii="宋体" w:hAnsi="宋体" w:eastAsia="宋体" w:cs="宋体"/>
                <w:spacing w:val="-3"/>
                <w:kern w:val="0"/>
                <w:sz w:val="21"/>
                <w:szCs w:val="21"/>
                <w:u w:val="none"/>
                <w:lang w:val="en-US" w:eastAsia="zh-CN" w:bidi="ar-SA"/>
              </w:rPr>
              <w:t>除</w:t>
            </w:r>
            <w:r>
              <w:rPr>
                <w:rFonts w:hint="eastAsia" w:ascii="宋体" w:hAnsi="宋体" w:eastAsia="宋体" w:cs="宋体"/>
                <w:spacing w:val="-3"/>
                <w:kern w:val="0"/>
                <w:sz w:val="21"/>
                <w:szCs w:val="21"/>
                <w:u w:val="none"/>
                <w:lang w:val="en-AU" w:eastAsia="en-US" w:bidi="ar-SA"/>
              </w:rPr>
              <w:t>应满足</w:t>
            </w:r>
            <w:r>
              <w:rPr>
                <w:rFonts w:hint="eastAsia" w:ascii="宋体" w:hAnsi="宋体" w:eastAsia="宋体" w:cs="宋体"/>
                <w:spacing w:val="-3"/>
                <w:kern w:val="0"/>
                <w:sz w:val="21"/>
                <w:szCs w:val="21"/>
                <w:u w:val="none"/>
                <w:lang w:val="en-US" w:eastAsia="zh-CN" w:bidi="ar-SA"/>
              </w:rPr>
              <w:t>我校铁道工程技术专业群路桥类课程基本教学、专业技能实训</w:t>
            </w:r>
            <w:r>
              <w:rPr>
                <w:rFonts w:hint="eastAsia" w:ascii="宋体" w:hAnsi="宋体" w:eastAsia="宋体" w:cs="宋体"/>
                <w:bCs/>
                <w:color w:val="auto"/>
                <w:sz w:val="21"/>
                <w:szCs w:val="21"/>
                <w:highlight w:val="none"/>
                <w:u w:val="none"/>
                <w:lang w:val="en-US" w:eastAsia="zh-CN"/>
              </w:rPr>
              <w:t>及全国路桥施工类技能大赛要求</w:t>
            </w:r>
            <w:r>
              <w:rPr>
                <w:rFonts w:hint="eastAsia" w:ascii="宋体" w:hAnsi="宋体" w:eastAsia="宋体" w:cs="宋体"/>
                <w:spacing w:val="-3"/>
                <w:kern w:val="0"/>
                <w:sz w:val="21"/>
                <w:szCs w:val="21"/>
                <w:u w:val="none"/>
                <w:lang w:val="en-US" w:eastAsia="zh-CN" w:bidi="ar-SA"/>
              </w:rPr>
              <w:t>外，其</w:t>
            </w:r>
            <w:r>
              <w:rPr>
                <w:rFonts w:hint="eastAsia" w:ascii="宋体" w:hAnsi="宋体" w:eastAsia="宋体" w:cs="宋体"/>
                <w:spacing w:val="-3"/>
                <w:kern w:val="0"/>
                <w:sz w:val="21"/>
                <w:szCs w:val="21"/>
                <w:u w:val="none"/>
                <w:lang w:val="en-AU" w:eastAsia="en-US" w:bidi="ar-SA"/>
              </w:rPr>
              <w:t>内容</w:t>
            </w:r>
            <w:r>
              <w:rPr>
                <w:rFonts w:hint="eastAsia" w:ascii="宋体" w:hAnsi="宋体" w:eastAsia="宋体" w:cs="宋体"/>
                <w:spacing w:val="-3"/>
                <w:kern w:val="0"/>
                <w:sz w:val="21"/>
                <w:szCs w:val="21"/>
                <w:u w:val="none"/>
                <w:lang w:val="en-US" w:eastAsia="zh-CN" w:bidi="ar-SA"/>
              </w:rPr>
              <w:t>还应</w:t>
            </w:r>
            <w:r>
              <w:rPr>
                <w:rFonts w:hint="eastAsia" w:ascii="宋体" w:hAnsi="宋体" w:eastAsia="宋体" w:cs="宋体"/>
                <w:spacing w:val="-3"/>
                <w:kern w:val="0"/>
                <w:sz w:val="21"/>
                <w:szCs w:val="21"/>
                <w:u w:val="none"/>
                <w:lang w:val="en-AU" w:eastAsia="en-US" w:bidi="ar-SA"/>
              </w:rPr>
              <w:t>包含专业知识问答、施工工艺模拟实操、施工组织管理案例实操模拟平台</w:t>
            </w:r>
            <w:r>
              <w:rPr>
                <w:rFonts w:hint="eastAsia" w:ascii="宋体" w:hAnsi="宋体" w:eastAsia="宋体" w:cs="宋体"/>
                <w:spacing w:val="-3"/>
                <w:kern w:val="0"/>
                <w:sz w:val="21"/>
                <w:szCs w:val="21"/>
                <w:u w:val="none"/>
                <w:lang w:val="en-US" w:eastAsia="zh-CN" w:bidi="ar-SA"/>
              </w:rPr>
              <w:t>三个模块</w:t>
            </w:r>
            <w:r>
              <w:rPr>
                <w:rFonts w:hint="eastAsia" w:ascii="宋体" w:hAnsi="宋体" w:eastAsia="宋体" w:cs="宋体"/>
                <w:spacing w:val="-3"/>
                <w:kern w:val="0"/>
                <w:sz w:val="21"/>
                <w:szCs w:val="21"/>
                <w:u w:val="none"/>
                <w:lang w:val="en-AU" w:eastAsia="en-US" w:bidi="ar-SA"/>
              </w:rPr>
              <w:t>。</w:t>
            </w:r>
          </w:p>
          <w:p w14:paraId="08716A8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pacing w:val="-3"/>
                <w:kern w:val="0"/>
                <w:sz w:val="21"/>
                <w:szCs w:val="21"/>
                <w:lang w:val="en-US" w:eastAsia="zh-Han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US" w:eastAsia="zh-Hans" w:bidi="ar-SA"/>
              </w:rPr>
              <w:t>.平台功能要求如下：</w:t>
            </w:r>
          </w:p>
          <w:p w14:paraId="3BA71A5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院校课程中心</w:t>
            </w:r>
          </w:p>
          <w:tbl>
            <w:tblPr>
              <w:tblStyle w:val="18"/>
              <w:tblW w:w="5959" w:type="dxa"/>
              <w:tblInd w:w="13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547"/>
              <w:gridCol w:w="912"/>
              <w:gridCol w:w="3953"/>
            </w:tblGrid>
            <w:tr w14:paraId="4F0C9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E6F77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547"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436EDE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院校课程管理</w:t>
                  </w:r>
                </w:p>
              </w:tc>
              <w:tc>
                <w:tcPr>
                  <w:tcW w:w="912" w:type="dxa"/>
                  <w:tcBorders>
                    <w:top w:val="single" w:color="000000" w:sz="4" w:space="0"/>
                    <w:left w:val="nil"/>
                    <w:bottom w:val="single" w:color="000000" w:sz="4" w:space="0"/>
                    <w:right w:val="single" w:color="000000" w:sz="4" w:space="0"/>
                  </w:tcBorders>
                  <w:shd w:val="clear" w:color="auto" w:fill="FFFFFF"/>
                  <w:noWrap w:val="0"/>
                  <w:vAlign w:val="top"/>
                </w:tcPr>
                <w:p w14:paraId="0431772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课程分类</w:t>
                  </w:r>
                </w:p>
              </w:tc>
              <w:tc>
                <w:tcPr>
                  <w:tcW w:w="3953" w:type="dxa"/>
                  <w:tcBorders>
                    <w:top w:val="single" w:color="000000" w:sz="4" w:space="0"/>
                    <w:left w:val="nil"/>
                    <w:bottom w:val="single" w:color="000000" w:sz="4" w:space="0"/>
                    <w:right w:val="single" w:color="000000" w:sz="4" w:space="0"/>
                  </w:tcBorders>
                  <w:shd w:val="clear" w:color="auto" w:fill="FFFFFF"/>
                  <w:noWrap w:val="0"/>
                  <w:vAlign w:val="top"/>
                </w:tcPr>
                <w:p w14:paraId="391F0D2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院校管理员可进行院校课程分类的添加，修改，删除、完成后再前端展示分类，添加分类时需添加两级分类才可展示。</w:t>
                  </w:r>
                </w:p>
              </w:tc>
            </w:tr>
            <w:tr w14:paraId="6C310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94EFD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9DD7D6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BB7EC8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课程上架</w:t>
                  </w:r>
                </w:p>
              </w:tc>
              <w:tc>
                <w:tcPr>
                  <w:tcW w:w="3953" w:type="dxa"/>
                  <w:tcBorders>
                    <w:top w:val="nil"/>
                    <w:left w:val="nil"/>
                    <w:bottom w:val="single" w:color="000000" w:sz="4" w:space="0"/>
                    <w:right w:val="single" w:color="000000" w:sz="4" w:space="0"/>
                  </w:tcBorders>
                  <w:shd w:val="clear" w:color="auto" w:fill="FFFFFF"/>
                  <w:noWrap w:val="0"/>
                  <w:vAlign w:val="top"/>
                </w:tcPr>
                <w:p w14:paraId="7990E2E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1、分配课程：进入课程上架管理界面，可对课程上架，下架，分类进行修改，上架前先对课程进行修改，选择课程分类后可对课程进行上架，上架后对应院校的学生可在校园版APP和PC端观看该课程；</w:t>
                  </w:r>
                </w:p>
                <w:p w14:paraId="63A9505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2、院校自主添加：点击新增出现课程新增界面，输入课程名称，编码等，填写完成后，点击提交即可上传完课程名称。</w:t>
                  </w:r>
                </w:p>
              </w:tc>
            </w:tr>
            <w:tr w14:paraId="0802E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7A1B0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14FF3B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E2F1E5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课程章节</w:t>
                  </w:r>
                </w:p>
              </w:tc>
              <w:tc>
                <w:tcPr>
                  <w:tcW w:w="3953" w:type="dxa"/>
                  <w:tcBorders>
                    <w:top w:val="nil"/>
                    <w:left w:val="nil"/>
                    <w:bottom w:val="single" w:color="000000" w:sz="4" w:space="0"/>
                    <w:right w:val="single" w:color="000000" w:sz="4" w:space="0"/>
                  </w:tcBorders>
                  <w:shd w:val="clear" w:color="auto" w:fill="FFFFFF"/>
                  <w:noWrap w:val="0"/>
                  <w:vAlign w:val="top"/>
                </w:tcPr>
                <w:p w14:paraId="718CE0F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院校管理员新课程创建完成后进入章节管理界面可对章节进行新增，对视频资源进行上传，新增功能可对章节进行新增，上传资源可对章节下的视频进行上传。</w:t>
                  </w:r>
                </w:p>
              </w:tc>
            </w:tr>
            <w:tr w14:paraId="6695F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DBBDAE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2D165E1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77A4EB1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课程资源</w:t>
                  </w:r>
                </w:p>
              </w:tc>
              <w:tc>
                <w:tcPr>
                  <w:tcW w:w="3953" w:type="dxa"/>
                  <w:tcBorders>
                    <w:top w:val="nil"/>
                    <w:left w:val="nil"/>
                    <w:bottom w:val="single" w:color="000000" w:sz="4" w:space="0"/>
                    <w:right w:val="single" w:color="000000" w:sz="4" w:space="0"/>
                  </w:tcBorders>
                  <w:shd w:val="clear" w:color="auto" w:fill="FFFFFF"/>
                  <w:noWrap w:val="0"/>
                  <w:vAlign w:val="top"/>
                </w:tcPr>
                <w:p w14:paraId="3A45AD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院校老师或管理人员可上传课程对应的课件如ppt，PDF等文件。</w:t>
                  </w:r>
                </w:p>
              </w:tc>
            </w:tr>
            <w:tr w14:paraId="718F7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C875F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437443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4577712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练习题管理</w:t>
                  </w:r>
                </w:p>
              </w:tc>
              <w:tc>
                <w:tcPr>
                  <w:tcW w:w="3953" w:type="dxa"/>
                  <w:tcBorders>
                    <w:top w:val="nil"/>
                    <w:left w:val="nil"/>
                    <w:bottom w:val="single" w:color="000000" w:sz="4" w:space="0"/>
                    <w:right w:val="single" w:color="000000" w:sz="4" w:space="0"/>
                  </w:tcBorders>
                  <w:shd w:val="clear" w:color="auto" w:fill="FFFFFF"/>
                  <w:noWrap w:val="0"/>
                  <w:vAlign w:val="top"/>
                </w:tcPr>
                <w:p w14:paraId="23CDDCF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院校管理人员上传课程对应的试题，提供给学生可进行随堂练习。</w:t>
                  </w:r>
                </w:p>
              </w:tc>
            </w:tr>
            <w:tr w14:paraId="35B5D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0E0573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547" w:type="dxa"/>
                  <w:vMerge w:val="restart"/>
                  <w:tcBorders>
                    <w:top w:val="nil"/>
                    <w:left w:val="nil"/>
                    <w:bottom w:val="single" w:color="000000" w:sz="4" w:space="0"/>
                    <w:right w:val="single" w:color="000000" w:sz="4" w:space="0"/>
                  </w:tcBorders>
                  <w:shd w:val="clear" w:color="auto" w:fill="FFFFFF"/>
                  <w:noWrap w:val="0"/>
                  <w:vAlign w:val="top"/>
                </w:tcPr>
                <w:p w14:paraId="254A175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课程中心</w:t>
                  </w:r>
                </w:p>
              </w:tc>
              <w:tc>
                <w:tcPr>
                  <w:tcW w:w="912" w:type="dxa"/>
                  <w:tcBorders>
                    <w:top w:val="nil"/>
                    <w:left w:val="nil"/>
                    <w:bottom w:val="single" w:color="000000" w:sz="4" w:space="0"/>
                    <w:right w:val="single" w:color="000000" w:sz="4" w:space="0"/>
                  </w:tcBorders>
                  <w:shd w:val="clear" w:color="auto" w:fill="FFFFFF"/>
                  <w:noWrap w:val="0"/>
                  <w:vAlign w:val="top"/>
                </w:tcPr>
                <w:p w14:paraId="4C6EB08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课程分类</w:t>
                  </w:r>
                </w:p>
              </w:tc>
              <w:tc>
                <w:tcPr>
                  <w:tcW w:w="3953" w:type="dxa"/>
                  <w:tcBorders>
                    <w:top w:val="nil"/>
                    <w:left w:val="nil"/>
                    <w:bottom w:val="single" w:color="000000" w:sz="4" w:space="0"/>
                    <w:right w:val="single" w:color="000000" w:sz="4" w:space="0"/>
                  </w:tcBorders>
                  <w:shd w:val="clear" w:color="auto" w:fill="FFFFFF"/>
                  <w:noWrap w:val="0"/>
                  <w:vAlign w:val="top"/>
                </w:tcPr>
                <w:p w14:paraId="2C8087A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在Banner图的左侧，采用响应式侧边导航栏，显示课程分类中创建的所有分类。</w:t>
                  </w:r>
                </w:p>
              </w:tc>
            </w:tr>
            <w:tr w14:paraId="2B783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01CC40F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26815DD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6F9FBB4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课程观看</w:t>
                  </w:r>
                </w:p>
              </w:tc>
              <w:tc>
                <w:tcPr>
                  <w:tcW w:w="3953" w:type="dxa"/>
                  <w:tcBorders>
                    <w:top w:val="nil"/>
                    <w:left w:val="nil"/>
                    <w:bottom w:val="single" w:color="000000" w:sz="4" w:space="0"/>
                    <w:right w:val="single" w:color="000000" w:sz="4" w:space="0"/>
                  </w:tcBorders>
                  <w:shd w:val="clear" w:color="auto" w:fill="FFFFFF"/>
                  <w:noWrap w:val="0"/>
                  <w:vAlign w:val="top"/>
                </w:tcPr>
                <w:p w14:paraId="4A278CF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点击课程名称观看视频，打开章节后显示课程介绍，课程章节，资源下载等相关信息。点击课程章节，选择章节名称后进行观看。</w:t>
                  </w:r>
                </w:p>
              </w:tc>
            </w:tr>
            <w:tr w14:paraId="15FC3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6F0BE10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15F2DE4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2964B9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资源下载</w:t>
                  </w:r>
                </w:p>
              </w:tc>
              <w:tc>
                <w:tcPr>
                  <w:tcW w:w="3953" w:type="dxa"/>
                  <w:tcBorders>
                    <w:top w:val="nil"/>
                    <w:left w:val="nil"/>
                    <w:bottom w:val="single" w:color="000000" w:sz="4" w:space="0"/>
                    <w:right w:val="single" w:color="000000" w:sz="4" w:space="0"/>
                  </w:tcBorders>
                  <w:shd w:val="clear" w:color="auto" w:fill="FFFFFF"/>
                  <w:noWrap w:val="0"/>
                  <w:vAlign w:val="top"/>
                </w:tcPr>
                <w:p w14:paraId="350E7DD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显示课程所用的课件，用户点击下载可下载该课件。</w:t>
                  </w:r>
                </w:p>
              </w:tc>
            </w:tr>
            <w:tr w14:paraId="5D432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67845F1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7AC2D87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23628E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评论</w:t>
                  </w:r>
                </w:p>
              </w:tc>
              <w:tc>
                <w:tcPr>
                  <w:tcW w:w="3953" w:type="dxa"/>
                  <w:tcBorders>
                    <w:top w:val="nil"/>
                    <w:left w:val="nil"/>
                    <w:bottom w:val="single" w:color="000000" w:sz="4" w:space="0"/>
                    <w:right w:val="single" w:color="000000" w:sz="4" w:space="0"/>
                  </w:tcBorders>
                  <w:shd w:val="clear" w:color="auto" w:fill="FFFFFF"/>
                  <w:noWrap w:val="0"/>
                  <w:vAlign w:val="top"/>
                </w:tcPr>
                <w:p w14:paraId="12C9B3C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AU" w:eastAsia="en-US" w:bidi="ar-SA"/>
                    </w:rPr>
                    <w:t>点击评论-</w:t>
                  </w:r>
                  <w:r>
                    <w:rPr>
                      <w:rFonts w:hint="eastAsia" w:ascii="宋体" w:hAnsi="宋体" w:eastAsia="宋体" w:cs="宋体"/>
                      <w:spacing w:val="-3"/>
                      <w:kern w:val="0"/>
                      <w:sz w:val="21"/>
                      <w:szCs w:val="21"/>
                      <w:lang w:val="en-AU" w:eastAsia="en-US"/>
                    </w:rPr>
                    <w:t>可进行评论的发表；并能够查看评论内容。</w:t>
                  </w:r>
                </w:p>
              </w:tc>
            </w:tr>
            <w:tr w14:paraId="17153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7"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32256DE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547" w:type="dxa"/>
                  <w:vMerge w:val="continue"/>
                  <w:tcBorders>
                    <w:top w:val="nil"/>
                    <w:left w:val="nil"/>
                    <w:bottom w:val="single" w:color="000000" w:sz="4" w:space="0"/>
                    <w:right w:val="single" w:color="000000" w:sz="4" w:space="0"/>
                  </w:tcBorders>
                  <w:shd w:val="clear" w:color="auto" w:fill="auto"/>
                  <w:noWrap w:val="0"/>
                  <w:vAlign w:val="top"/>
                </w:tcPr>
                <w:p w14:paraId="14C12A5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912" w:type="dxa"/>
                  <w:tcBorders>
                    <w:top w:val="nil"/>
                    <w:left w:val="nil"/>
                    <w:bottom w:val="single" w:color="000000" w:sz="4" w:space="0"/>
                    <w:right w:val="single" w:color="000000" w:sz="4" w:space="0"/>
                  </w:tcBorders>
                  <w:shd w:val="clear" w:color="auto" w:fill="FFFFFF"/>
                  <w:noWrap w:val="0"/>
                  <w:vAlign w:val="top"/>
                </w:tcPr>
                <w:p w14:paraId="0E60F57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w:t>
                  </w:r>
                </w:p>
              </w:tc>
              <w:tc>
                <w:tcPr>
                  <w:tcW w:w="3953" w:type="dxa"/>
                  <w:tcBorders>
                    <w:top w:val="nil"/>
                    <w:left w:val="nil"/>
                    <w:bottom w:val="single" w:color="000000" w:sz="4" w:space="0"/>
                    <w:right w:val="single" w:color="000000" w:sz="4" w:space="0"/>
                  </w:tcBorders>
                  <w:shd w:val="clear" w:color="auto" w:fill="FFFFFF"/>
                  <w:noWrap w:val="0"/>
                  <w:vAlign w:val="top"/>
                </w:tcPr>
                <w:p w14:paraId="25153BD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练习题</w:t>
                  </w:r>
                  <w:r>
                    <w:rPr>
                      <w:rFonts w:hint="eastAsia" w:ascii="宋体" w:hAnsi="宋体" w:eastAsia="宋体" w:cs="宋体"/>
                      <w:spacing w:val="-3"/>
                      <w:kern w:val="0"/>
                      <w:sz w:val="21"/>
                      <w:szCs w:val="21"/>
                      <w:lang w:val="en-US" w:eastAsia="zh-CN" w:bidi="ar-SA"/>
                    </w:rPr>
                    <w:t>-可查看</w:t>
                  </w:r>
                  <w:r>
                    <w:rPr>
                      <w:rFonts w:hint="eastAsia" w:ascii="宋体" w:hAnsi="宋体" w:eastAsia="宋体" w:cs="宋体"/>
                      <w:spacing w:val="-3"/>
                      <w:kern w:val="0"/>
                      <w:sz w:val="21"/>
                      <w:szCs w:val="21"/>
                      <w:lang w:val="en-AU" w:eastAsia="en-US" w:bidi="ar-SA"/>
                    </w:rPr>
                    <w:t>章节下练习题，选择</w:t>
                  </w:r>
                  <w:r>
                    <w:rPr>
                      <w:rFonts w:hint="eastAsia" w:ascii="宋体" w:hAnsi="宋体" w:eastAsia="宋体" w:cs="宋体"/>
                      <w:spacing w:val="-3"/>
                      <w:kern w:val="0"/>
                      <w:sz w:val="21"/>
                      <w:szCs w:val="21"/>
                      <w:lang w:val="en-US" w:eastAsia="zh-CN" w:bidi="ar-SA"/>
                    </w:rPr>
                    <w:t>作答相关练习题</w:t>
                  </w:r>
                  <w:r>
                    <w:rPr>
                      <w:rFonts w:hint="eastAsia" w:ascii="宋体" w:hAnsi="宋体" w:eastAsia="宋体" w:cs="宋体"/>
                      <w:spacing w:val="-3"/>
                      <w:kern w:val="0"/>
                      <w:sz w:val="21"/>
                      <w:szCs w:val="21"/>
                      <w:lang w:val="en-AU" w:eastAsia="en-US" w:bidi="ar-SA"/>
                    </w:rPr>
                    <w:t>，</w:t>
                  </w:r>
                  <w:r>
                    <w:rPr>
                      <w:rFonts w:hint="eastAsia" w:ascii="宋体" w:hAnsi="宋体" w:eastAsia="宋体" w:cs="宋体"/>
                      <w:spacing w:val="-3"/>
                      <w:kern w:val="0"/>
                      <w:sz w:val="21"/>
                      <w:szCs w:val="21"/>
                      <w:lang w:val="en-US" w:eastAsia="zh-CN" w:bidi="ar-SA"/>
                    </w:rPr>
                    <w:t>作答结束后有对应的</w:t>
                  </w:r>
                  <w:r>
                    <w:rPr>
                      <w:rFonts w:hint="eastAsia" w:ascii="宋体" w:hAnsi="宋体" w:eastAsia="宋体" w:cs="宋体"/>
                      <w:spacing w:val="-3"/>
                      <w:kern w:val="0"/>
                      <w:sz w:val="21"/>
                      <w:szCs w:val="21"/>
                      <w:lang w:val="en-AU" w:eastAsia="en-US" w:bidi="ar-SA"/>
                    </w:rPr>
                    <w:t>试题解析</w:t>
                  </w:r>
                  <w:r>
                    <w:rPr>
                      <w:rFonts w:hint="eastAsia" w:ascii="宋体" w:hAnsi="宋体" w:eastAsia="宋体" w:cs="宋体"/>
                      <w:spacing w:val="-3"/>
                      <w:kern w:val="0"/>
                      <w:sz w:val="21"/>
                      <w:szCs w:val="21"/>
                      <w:lang w:val="en-AU" w:eastAsia="zh-CN" w:bidi="ar-SA"/>
                    </w:rPr>
                    <w:t>。</w:t>
                  </w:r>
                </w:p>
              </w:tc>
            </w:tr>
          </w:tbl>
          <w:p w14:paraId="689375F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（2）</w:t>
            </w:r>
            <w:r>
              <w:rPr>
                <w:rFonts w:hint="eastAsia" w:ascii="宋体" w:hAnsi="宋体" w:eastAsia="宋体" w:cs="宋体"/>
                <w:b/>
                <w:bCs/>
                <w:sz w:val="21"/>
                <w:szCs w:val="21"/>
                <w:lang w:val="en-US" w:eastAsia="zh-CN"/>
              </w:rPr>
              <w:t>院校资源管理</w:t>
            </w:r>
          </w:p>
          <w:tbl>
            <w:tblPr>
              <w:tblStyle w:val="1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8"/>
              <w:gridCol w:w="608"/>
              <w:gridCol w:w="791"/>
              <w:gridCol w:w="3955"/>
            </w:tblGrid>
            <w:tr w14:paraId="32D85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51793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608"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26A85C7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院校资源管理</w:t>
                  </w:r>
                </w:p>
              </w:tc>
              <w:tc>
                <w:tcPr>
                  <w:tcW w:w="791" w:type="dxa"/>
                  <w:tcBorders>
                    <w:top w:val="single" w:color="000000" w:sz="4" w:space="0"/>
                    <w:left w:val="nil"/>
                    <w:bottom w:val="single" w:color="000000" w:sz="4" w:space="0"/>
                    <w:right w:val="single" w:color="000000" w:sz="4" w:space="0"/>
                  </w:tcBorders>
                  <w:shd w:val="clear" w:color="auto" w:fill="FFFFFF"/>
                  <w:noWrap w:val="0"/>
                  <w:vAlign w:val="top"/>
                </w:tcPr>
                <w:p w14:paraId="5CBF1F2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分类管理</w:t>
                  </w:r>
                </w:p>
              </w:tc>
              <w:tc>
                <w:tcPr>
                  <w:tcW w:w="3955" w:type="dxa"/>
                  <w:tcBorders>
                    <w:top w:val="single" w:color="000000" w:sz="4" w:space="0"/>
                    <w:left w:val="nil"/>
                    <w:bottom w:val="single" w:color="000000" w:sz="4" w:space="0"/>
                    <w:right w:val="single" w:color="000000" w:sz="4" w:space="0"/>
                  </w:tcBorders>
                  <w:shd w:val="clear" w:color="auto" w:fill="FFFFFF"/>
                  <w:noWrap w:val="0"/>
                  <w:vAlign w:val="top"/>
                </w:tcPr>
                <w:p w14:paraId="7A01EC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管理人员可创建资源中心资源分类如视频、PDF等。</w:t>
                  </w:r>
                </w:p>
              </w:tc>
            </w:tr>
            <w:tr w14:paraId="05B81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72A0E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32DAB33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591ECC4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专业管理</w:t>
                  </w:r>
                </w:p>
              </w:tc>
              <w:tc>
                <w:tcPr>
                  <w:tcW w:w="3955" w:type="dxa"/>
                  <w:tcBorders>
                    <w:top w:val="nil"/>
                    <w:left w:val="nil"/>
                    <w:bottom w:val="single" w:color="000000" w:sz="4" w:space="0"/>
                    <w:right w:val="single" w:color="000000" w:sz="4" w:space="0"/>
                  </w:tcBorders>
                  <w:shd w:val="clear" w:color="auto" w:fill="FFFFFF"/>
                  <w:noWrap w:val="0"/>
                  <w:vAlign w:val="top"/>
                </w:tcPr>
                <w:p w14:paraId="4FF95D9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管理人员可创建资源中心中所包含的专业，如交通工程、建筑工程、市政工程、土木工程。</w:t>
                  </w:r>
                </w:p>
              </w:tc>
            </w:tr>
            <w:tr w14:paraId="49766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A8313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127412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472A4A0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资源管理</w:t>
                  </w:r>
                </w:p>
              </w:tc>
              <w:tc>
                <w:tcPr>
                  <w:tcW w:w="3955" w:type="dxa"/>
                  <w:tcBorders>
                    <w:top w:val="nil"/>
                    <w:left w:val="nil"/>
                    <w:bottom w:val="single" w:color="000000" w:sz="4" w:space="0"/>
                    <w:right w:val="single" w:color="000000" w:sz="4" w:space="0"/>
                  </w:tcBorders>
                  <w:shd w:val="clear" w:color="auto" w:fill="FFFFFF"/>
                  <w:noWrap w:val="0"/>
                  <w:vAlign w:val="top"/>
                </w:tcPr>
                <w:p w14:paraId="0BB43E0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院校老师或管理人员可上传院校的学习资源到资源中心，学生可在客户端进行查看。</w:t>
                  </w:r>
                </w:p>
              </w:tc>
            </w:tr>
            <w:tr w14:paraId="56DC6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052116F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608" w:type="dxa"/>
                  <w:vMerge w:val="restart"/>
                  <w:tcBorders>
                    <w:top w:val="nil"/>
                    <w:left w:val="nil"/>
                    <w:bottom w:val="single" w:color="000000" w:sz="4" w:space="0"/>
                    <w:right w:val="single" w:color="000000" w:sz="4" w:space="0"/>
                  </w:tcBorders>
                  <w:shd w:val="clear" w:color="auto" w:fill="FFFFFF"/>
                  <w:noWrap w:val="0"/>
                  <w:vAlign w:val="top"/>
                </w:tcPr>
                <w:p w14:paraId="4ACDC67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资源中心</w:t>
                  </w:r>
                </w:p>
              </w:tc>
              <w:tc>
                <w:tcPr>
                  <w:tcW w:w="791" w:type="dxa"/>
                  <w:tcBorders>
                    <w:top w:val="nil"/>
                    <w:left w:val="nil"/>
                    <w:bottom w:val="single" w:color="000000" w:sz="4" w:space="0"/>
                    <w:right w:val="single" w:color="000000" w:sz="4" w:space="0"/>
                  </w:tcBorders>
                  <w:shd w:val="clear" w:color="auto" w:fill="FFFFFF"/>
                  <w:noWrap w:val="0"/>
                  <w:vAlign w:val="top"/>
                </w:tcPr>
                <w:p w14:paraId="23130B7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资源分类</w:t>
                  </w:r>
                </w:p>
              </w:tc>
              <w:tc>
                <w:tcPr>
                  <w:tcW w:w="3955" w:type="dxa"/>
                  <w:tcBorders>
                    <w:top w:val="nil"/>
                    <w:left w:val="nil"/>
                    <w:bottom w:val="single" w:color="000000" w:sz="4" w:space="0"/>
                    <w:right w:val="single" w:color="000000" w:sz="4" w:space="0"/>
                  </w:tcBorders>
                  <w:shd w:val="clear" w:color="auto" w:fill="FFFFFF"/>
                  <w:noWrap w:val="0"/>
                  <w:vAlign w:val="top"/>
                </w:tcPr>
                <w:p w14:paraId="2F5B9FB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资源中心资源以卡片形式展示包含MP4、PDF、DOC、XLS等多种格式前端包含后台所创建的所有分类和专业。</w:t>
                  </w:r>
                </w:p>
              </w:tc>
            </w:tr>
            <w:tr w14:paraId="6A276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4CF57F3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03CDD3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5126399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资源搜索</w:t>
                  </w:r>
                </w:p>
              </w:tc>
              <w:tc>
                <w:tcPr>
                  <w:tcW w:w="3955" w:type="dxa"/>
                  <w:tcBorders>
                    <w:top w:val="nil"/>
                    <w:left w:val="nil"/>
                    <w:bottom w:val="single" w:color="000000" w:sz="4" w:space="0"/>
                    <w:right w:val="single" w:color="000000" w:sz="4" w:space="0"/>
                  </w:tcBorders>
                  <w:shd w:val="clear" w:color="auto" w:fill="FFFFFF"/>
                  <w:noWrap w:val="0"/>
                  <w:vAlign w:val="top"/>
                </w:tcPr>
                <w:p w14:paraId="71BCD8D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用户可根据资源分类专业不同进行搜索查询，或根据资源名称进行精确查找。</w:t>
                  </w:r>
                </w:p>
              </w:tc>
            </w:tr>
            <w:tr w14:paraId="67B12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5777B8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7CB5190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1B1EB08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观看资源</w:t>
                  </w:r>
                </w:p>
              </w:tc>
              <w:tc>
                <w:tcPr>
                  <w:tcW w:w="3955" w:type="dxa"/>
                  <w:tcBorders>
                    <w:top w:val="nil"/>
                    <w:left w:val="nil"/>
                    <w:bottom w:val="single" w:color="000000" w:sz="4" w:space="0"/>
                    <w:right w:val="single" w:color="000000" w:sz="4" w:space="0"/>
                  </w:tcBorders>
                  <w:shd w:val="clear" w:color="auto" w:fill="FFFFFF"/>
                  <w:noWrap w:val="0"/>
                  <w:vAlign w:val="top"/>
                </w:tcPr>
                <w:p w14:paraId="181A3E3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单击资源素材打开后，可观看或查阅素材收藏，在线评论操作。</w:t>
                  </w:r>
                </w:p>
              </w:tc>
            </w:tr>
            <w:tr w14:paraId="2C0A7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5881FDA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8" w:type="dxa"/>
                  <w:vMerge w:val="continue"/>
                  <w:tcBorders>
                    <w:top w:val="nil"/>
                    <w:left w:val="nil"/>
                    <w:bottom w:val="single" w:color="000000" w:sz="4" w:space="0"/>
                    <w:right w:val="single" w:color="000000" w:sz="4" w:space="0"/>
                  </w:tcBorders>
                  <w:shd w:val="clear" w:color="auto" w:fill="auto"/>
                  <w:noWrap w:val="0"/>
                  <w:vAlign w:val="top"/>
                </w:tcPr>
                <w:p w14:paraId="09EDF97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91" w:type="dxa"/>
                  <w:tcBorders>
                    <w:top w:val="nil"/>
                    <w:left w:val="nil"/>
                    <w:bottom w:val="single" w:color="000000" w:sz="4" w:space="0"/>
                    <w:right w:val="single" w:color="000000" w:sz="4" w:space="0"/>
                  </w:tcBorders>
                  <w:shd w:val="clear" w:color="auto" w:fill="FFFFFF"/>
                  <w:noWrap w:val="0"/>
                  <w:vAlign w:val="top"/>
                </w:tcPr>
                <w:p w14:paraId="3A136B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评论</w:t>
                  </w:r>
                </w:p>
              </w:tc>
              <w:tc>
                <w:tcPr>
                  <w:tcW w:w="3955" w:type="dxa"/>
                  <w:tcBorders>
                    <w:top w:val="nil"/>
                    <w:left w:val="nil"/>
                    <w:bottom w:val="single" w:color="000000" w:sz="4" w:space="0"/>
                    <w:right w:val="single" w:color="000000" w:sz="4" w:space="0"/>
                  </w:tcBorders>
                  <w:shd w:val="clear" w:color="auto" w:fill="FFFFFF"/>
                  <w:noWrap w:val="0"/>
                  <w:vAlign w:val="top"/>
                </w:tcPr>
                <w:p w14:paraId="41C76F6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点击评论-</w:t>
                  </w:r>
                  <w:r>
                    <w:rPr>
                      <w:rFonts w:hint="eastAsia" w:ascii="宋体" w:hAnsi="宋体" w:eastAsia="宋体" w:cs="宋体"/>
                      <w:spacing w:val="-3"/>
                      <w:kern w:val="0"/>
                      <w:sz w:val="21"/>
                      <w:szCs w:val="21"/>
                      <w:lang w:val="en-AU" w:eastAsia="en-US"/>
                    </w:rPr>
                    <w:t>可进行评论的发表；并能够查看评论内容。</w:t>
                  </w:r>
                </w:p>
              </w:tc>
            </w:tr>
          </w:tbl>
          <w:p w14:paraId="6B989D5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（3）</w:t>
            </w:r>
            <w:r>
              <w:rPr>
                <w:rFonts w:hint="eastAsia" w:ascii="宋体" w:hAnsi="宋体" w:eastAsia="宋体" w:cs="宋体"/>
                <w:b/>
                <w:bCs/>
                <w:sz w:val="21"/>
                <w:szCs w:val="21"/>
                <w:lang w:val="en-US" w:eastAsia="zh-CN"/>
              </w:rPr>
              <w:t>考试中心</w:t>
            </w:r>
          </w:p>
          <w:tbl>
            <w:tblPr>
              <w:tblStyle w:val="18"/>
              <w:tblW w:w="5891"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4"/>
              <w:gridCol w:w="605"/>
              <w:gridCol w:w="785"/>
              <w:gridCol w:w="3897"/>
            </w:tblGrid>
            <w:tr w14:paraId="79D53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4B548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后台</w:t>
                  </w:r>
                </w:p>
              </w:tc>
              <w:tc>
                <w:tcPr>
                  <w:tcW w:w="605" w:type="dxa"/>
                  <w:vMerge w:val="restart"/>
                  <w:tcBorders>
                    <w:top w:val="single" w:color="000000" w:sz="4" w:space="0"/>
                    <w:left w:val="nil"/>
                    <w:bottom w:val="single" w:color="000000" w:sz="4" w:space="0"/>
                    <w:right w:val="single" w:color="000000" w:sz="4" w:space="0"/>
                  </w:tcBorders>
                  <w:shd w:val="clear" w:color="auto" w:fill="FFFFFF"/>
                  <w:noWrap w:val="0"/>
                  <w:vAlign w:val="top"/>
                </w:tcPr>
                <w:p w14:paraId="5885DBE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院校考试管理</w:t>
                  </w:r>
                </w:p>
              </w:tc>
              <w:tc>
                <w:tcPr>
                  <w:tcW w:w="785" w:type="dxa"/>
                  <w:tcBorders>
                    <w:top w:val="single" w:color="000000" w:sz="4" w:space="0"/>
                    <w:left w:val="nil"/>
                    <w:bottom w:val="single" w:color="000000" w:sz="4" w:space="0"/>
                    <w:right w:val="single" w:color="000000" w:sz="4" w:space="0"/>
                  </w:tcBorders>
                  <w:shd w:val="clear" w:color="auto" w:fill="FFFFFF"/>
                  <w:noWrap w:val="0"/>
                  <w:vAlign w:val="top"/>
                </w:tcPr>
                <w:p w14:paraId="77A5537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题库管理</w:t>
                  </w:r>
                </w:p>
              </w:tc>
              <w:tc>
                <w:tcPr>
                  <w:tcW w:w="3897" w:type="dxa"/>
                  <w:tcBorders>
                    <w:top w:val="single" w:color="000000" w:sz="4" w:space="0"/>
                    <w:left w:val="nil"/>
                    <w:bottom w:val="single" w:color="000000" w:sz="4" w:space="0"/>
                    <w:right w:val="single" w:color="000000" w:sz="4" w:space="0"/>
                  </w:tcBorders>
                  <w:shd w:val="clear" w:color="auto" w:fill="FFFFFF"/>
                  <w:noWrap w:val="0"/>
                  <w:vAlign w:val="top"/>
                </w:tcPr>
                <w:p w14:paraId="4472815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题库题型分为单选和多选，支持单个题目录入，同时也支持Excel格式批量导入。可进行搜索、删除、修改。</w:t>
                  </w:r>
                </w:p>
              </w:tc>
            </w:tr>
            <w:tr w14:paraId="56C50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C1787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3FE8745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66903D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试卷管理</w:t>
                  </w:r>
                </w:p>
              </w:tc>
              <w:tc>
                <w:tcPr>
                  <w:tcW w:w="3897" w:type="dxa"/>
                  <w:tcBorders>
                    <w:top w:val="nil"/>
                    <w:left w:val="nil"/>
                    <w:bottom w:val="single" w:color="000000" w:sz="4" w:space="0"/>
                    <w:right w:val="single" w:color="000000" w:sz="4" w:space="0"/>
                  </w:tcBorders>
                  <w:shd w:val="clear" w:color="auto" w:fill="FFFFFF"/>
                  <w:noWrap w:val="0"/>
                  <w:vAlign w:val="top"/>
                </w:tcPr>
                <w:p w14:paraId="3B3EFD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可对试卷进行创建，试卷分为实操和理论两种试卷，点击试卷名称，再次点击试卷列表可自主选择实操试卷对应的模块信息，理论试卷对应的试题信息。</w:t>
                  </w:r>
                </w:p>
              </w:tc>
            </w:tr>
            <w:tr w14:paraId="60E25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C10D0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4EB9F81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06AC1A1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考试管理</w:t>
                  </w:r>
                </w:p>
              </w:tc>
              <w:tc>
                <w:tcPr>
                  <w:tcW w:w="3897" w:type="dxa"/>
                  <w:tcBorders>
                    <w:top w:val="nil"/>
                    <w:left w:val="nil"/>
                    <w:bottom w:val="single" w:color="000000" w:sz="4" w:space="0"/>
                    <w:right w:val="single" w:color="000000" w:sz="4" w:space="0"/>
                  </w:tcBorders>
                  <w:shd w:val="clear" w:color="auto" w:fill="FFFFFF"/>
                  <w:noWrap w:val="0"/>
                  <w:vAlign w:val="top"/>
                </w:tcPr>
                <w:p w14:paraId="2DB8E60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考试模式分为理论考试和实操考试，试卷信息可选择考试试卷，点击考试班级可对考试班级进行添加，考试日志实操包含用户姓名，模块名称，模块编码，操作步骤，操作进度，用时，操作错误记录。</w:t>
                  </w:r>
                </w:p>
              </w:tc>
            </w:tr>
            <w:tr w14:paraId="32523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642A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04BDB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41882F1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在线监考</w:t>
                  </w:r>
                </w:p>
              </w:tc>
              <w:tc>
                <w:tcPr>
                  <w:tcW w:w="3897" w:type="dxa"/>
                  <w:tcBorders>
                    <w:top w:val="nil"/>
                    <w:left w:val="nil"/>
                    <w:bottom w:val="single" w:color="000000" w:sz="4" w:space="0"/>
                    <w:right w:val="single" w:color="000000" w:sz="4" w:space="0"/>
                  </w:tcBorders>
                  <w:shd w:val="clear" w:color="auto" w:fill="FFFFFF"/>
                  <w:noWrap w:val="0"/>
                  <w:vAlign w:val="top"/>
                </w:tcPr>
                <w:p w14:paraId="1FB4266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在线监考界面，点击考试名称后，点击未考、在考、考完、总人数，出现对应的人数信息，可在线查看。</w:t>
                  </w:r>
                </w:p>
              </w:tc>
            </w:tr>
            <w:tr w14:paraId="03698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6066C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single" w:color="000000" w:sz="4" w:space="0"/>
                    <w:left w:val="nil"/>
                    <w:bottom w:val="single" w:color="000000" w:sz="4" w:space="0"/>
                    <w:right w:val="single" w:color="000000" w:sz="4" w:space="0"/>
                  </w:tcBorders>
                  <w:shd w:val="clear" w:color="auto" w:fill="auto"/>
                  <w:noWrap w:val="0"/>
                  <w:vAlign w:val="top"/>
                </w:tcPr>
                <w:p w14:paraId="68D2F9E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467424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成绩管理</w:t>
                  </w:r>
                </w:p>
              </w:tc>
              <w:tc>
                <w:tcPr>
                  <w:tcW w:w="3897" w:type="dxa"/>
                  <w:tcBorders>
                    <w:top w:val="nil"/>
                    <w:left w:val="nil"/>
                    <w:bottom w:val="single" w:color="000000" w:sz="4" w:space="0"/>
                    <w:right w:val="single" w:color="000000" w:sz="4" w:space="0"/>
                  </w:tcBorders>
                  <w:shd w:val="clear" w:color="auto" w:fill="FFFFFF"/>
                  <w:noWrap w:val="0"/>
                  <w:vAlign w:val="top"/>
                </w:tcPr>
                <w:p w14:paraId="233D4F9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AU" w:eastAsia="en-US" w:bidi="ar-SA"/>
                    </w:rPr>
                    <w:t>进入成绩管理界面点击考试名称后，</w:t>
                  </w:r>
                  <w:r>
                    <w:rPr>
                      <w:rFonts w:hint="eastAsia" w:ascii="宋体" w:hAnsi="宋体" w:eastAsia="宋体" w:cs="宋体"/>
                      <w:spacing w:val="-3"/>
                      <w:kern w:val="0"/>
                      <w:sz w:val="21"/>
                      <w:szCs w:val="21"/>
                      <w:lang w:val="en-US" w:eastAsia="zh-CN" w:bidi="ar-SA"/>
                    </w:rPr>
                    <w:t>可查看</w:t>
                  </w:r>
                  <w:r>
                    <w:rPr>
                      <w:rFonts w:hint="eastAsia" w:ascii="宋体" w:hAnsi="宋体" w:eastAsia="宋体" w:cs="宋体"/>
                      <w:spacing w:val="-3"/>
                      <w:kern w:val="0"/>
                      <w:sz w:val="21"/>
                      <w:szCs w:val="21"/>
                      <w:lang w:val="en-AU" w:eastAsia="en-US" w:bidi="ar-SA"/>
                    </w:rPr>
                    <w:t>所有的参考人员的成绩，</w:t>
                  </w:r>
                  <w:r>
                    <w:rPr>
                      <w:rFonts w:hint="eastAsia" w:ascii="宋体" w:hAnsi="宋体" w:eastAsia="宋体" w:cs="宋体"/>
                      <w:spacing w:val="-3"/>
                      <w:kern w:val="0"/>
                      <w:sz w:val="21"/>
                      <w:szCs w:val="21"/>
                      <w:lang w:val="en-US" w:eastAsia="zh-CN" w:bidi="ar-SA"/>
                    </w:rPr>
                    <w:t>在</w:t>
                  </w:r>
                  <w:r>
                    <w:rPr>
                      <w:rFonts w:hint="eastAsia" w:ascii="宋体" w:hAnsi="宋体" w:eastAsia="宋体" w:cs="宋体"/>
                      <w:spacing w:val="-3"/>
                      <w:kern w:val="0"/>
                      <w:sz w:val="21"/>
                      <w:szCs w:val="21"/>
                      <w:lang w:val="en-AU" w:eastAsia="en-US" w:bidi="ar-SA"/>
                    </w:rPr>
                    <w:t>考试成绩预览按钮</w:t>
                  </w:r>
                  <w:r>
                    <w:rPr>
                      <w:rFonts w:hint="eastAsia" w:ascii="宋体" w:hAnsi="宋体" w:eastAsia="宋体" w:cs="宋体"/>
                      <w:spacing w:val="-3"/>
                      <w:kern w:val="0"/>
                      <w:sz w:val="21"/>
                      <w:szCs w:val="21"/>
                      <w:lang w:val="en-US" w:eastAsia="zh-CN" w:bidi="ar-SA"/>
                    </w:rPr>
                    <w:t>有</w:t>
                  </w:r>
                  <w:r>
                    <w:rPr>
                      <w:rFonts w:hint="eastAsia" w:ascii="宋体" w:hAnsi="宋体" w:eastAsia="宋体" w:cs="宋体"/>
                      <w:spacing w:val="-3"/>
                      <w:kern w:val="0"/>
                      <w:sz w:val="21"/>
                      <w:szCs w:val="21"/>
                      <w:lang w:val="en-AU" w:eastAsia="en-US" w:bidi="ar-SA"/>
                    </w:rPr>
                    <w:t>考试时随机抓拍截图</w:t>
                  </w:r>
                  <w:r>
                    <w:rPr>
                      <w:rFonts w:hint="eastAsia" w:ascii="宋体" w:hAnsi="宋体" w:eastAsia="宋体" w:cs="宋体"/>
                      <w:spacing w:val="-3"/>
                      <w:kern w:val="0"/>
                      <w:sz w:val="21"/>
                      <w:szCs w:val="21"/>
                      <w:lang w:val="en-AU" w:eastAsia="en-US"/>
                    </w:rPr>
                    <w:t>功能。</w:t>
                  </w:r>
                </w:p>
              </w:tc>
            </w:tr>
            <w:tr w14:paraId="20FB1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restart"/>
                  <w:tcBorders>
                    <w:top w:val="nil"/>
                    <w:left w:val="single" w:color="000000" w:sz="4" w:space="0"/>
                    <w:bottom w:val="single" w:color="000000" w:sz="4" w:space="0"/>
                    <w:right w:val="single" w:color="000000" w:sz="4" w:space="0"/>
                  </w:tcBorders>
                  <w:shd w:val="clear" w:color="auto" w:fill="FFFFFF"/>
                  <w:noWrap w:val="0"/>
                  <w:vAlign w:val="top"/>
                </w:tcPr>
                <w:p w14:paraId="69FF2C4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前端</w:t>
                  </w:r>
                </w:p>
              </w:tc>
              <w:tc>
                <w:tcPr>
                  <w:tcW w:w="605" w:type="dxa"/>
                  <w:vMerge w:val="restart"/>
                  <w:tcBorders>
                    <w:top w:val="nil"/>
                    <w:left w:val="nil"/>
                    <w:bottom w:val="single" w:color="000000" w:sz="4" w:space="0"/>
                    <w:right w:val="single" w:color="000000" w:sz="4" w:space="0"/>
                  </w:tcBorders>
                  <w:shd w:val="clear" w:color="auto" w:fill="FFFFFF"/>
                  <w:noWrap w:val="0"/>
                  <w:vAlign w:val="top"/>
                </w:tcPr>
                <w:p w14:paraId="699534C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考试中心</w:t>
                  </w:r>
                </w:p>
              </w:tc>
              <w:tc>
                <w:tcPr>
                  <w:tcW w:w="785" w:type="dxa"/>
                  <w:tcBorders>
                    <w:top w:val="nil"/>
                    <w:left w:val="nil"/>
                    <w:bottom w:val="single" w:color="000000" w:sz="4" w:space="0"/>
                    <w:right w:val="single" w:color="000000" w:sz="4" w:space="0"/>
                  </w:tcBorders>
                  <w:shd w:val="clear" w:color="auto" w:fill="FFFFFF"/>
                  <w:noWrap w:val="0"/>
                  <w:vAlign w:val="top"/>
                </w:tcPr>
                <w:p w14:paraId="247D376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理论考试</w:t>
                  </w:r>
                </w:p>
              </w:tc>
              <w:tc>
                <w:tcPr>
                  <w:tcW w:w="3897" w:type="dxa"/>
                  <w:tcBorders>
                    <w:top w:val="nil"/>
                    <w:left w:val="nil"/>
                    <w:bottom w:val="single" w:color="000000" w:sz="4" w:space="0"/>
                    <w:right w:val="single" w:color="000000" w:sz="4" w:space="0"/>
                  </w:tcBorders>
                  <w:shd w:val="clear" w:color="auto" w:fill="FFFFFF"/>
                  <w:noWrap w:val="0"/>
                  <w:vAlign w:val="top"/>
                </w:tcPr>
                <w:p w14:paraId="5E0FAEC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理论考试</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进入理论答题界面，</w:t>
                  </w:r>
                  <w:r>
                    <w:rPr>
                      <w:rFonts w:hint="eastAsia" w:ascii="宋体" w:hAnsi="宋体" w:eastAsia="宋体" w:cs="宋体"/>
                      <w:spacing w:val="-3"/>
                      <w:kern w:val="0"/>
                      <w:sz w:val="21"/>
                      <w:szCs w:val="21"/>
                      <w:lang w:val="en-US" w:eastAsia="zh-CN" w:bidi="ar-SA"/>
                    </w:rPr>
                    <w:t>作答完成后，</w:t>
                  </w:r>
                  <w:r>
                    <w:rPr>
                      <w:rFonts w:hint="eastAsia" w:ascii="宋体" w:hAnsi="宋体" w:eastAsia="宋体" w:cs="宋体"/>
                      <w:spacing w:val="-3"/>
                      <w:kern w:val="0"/>
                      <w:sz w:val="21"/>
                      <w:szCs w:val="21"/>
                      <w:lang w:val="en-AU" w:eastAsia="en-US" w:bidi="ar-SA"/>
                    </w:rPr>
                    <w:t>成绩</w:t>
                  </w:r>
                  <w:r>
                    <w:rPr>
                      <w:rFonts w:hint="eastAsia" w:ascii="宋体" w:hAnsi="宋体" w:eastAsia="宋体" w:cs="宋体"/>
                      <w:spacing w:val="-3"/>
                      <w:kern w:val="0"/>
                      <w:sz w:val="21"/>
                      <w:szCs w:val="21"/>
                      <w:lang w:val="en-US" w:eastAsia="zh-CN" w:bidi="ar-SA"/>
                    </w:rPr>
                    <w:t>能够</w:t>
                  </w:r>
                  <w:r>
                    <w:rPr>
                      <w:rFonts w:hint="eastAsia" w:ascii="宋体" w:hAnsi="宋体" w:eastAsia="宋体" w:cs="宋体"/>
                      <w:spacing w:val="-3"/>
                      <w:kern w:val="0"/>
                      <w:sz w:val="21"/>
                      <w:szCs w:val="21"/>
                      <w:lang w:val="en-AU" w:eastAsia="en-US" w:bidi="ar-SA"/>
                    </w:rPr>
                    <w:t>上传到后台</w:t>
                  </w:r>
                  <w:r>
                    <w:rPr>
                      <w:rFonts w:hint="eastAsia" w:ascii="宋体" w:hAnsi="宋体" w:eastAsia="宋体" w:cs="宋体"/>
                      <w:spacing w:val="-3"/>
                      <w:kern w:val="0"/>
                      <w:sz w:val="21"/>
                      <w:szCs w:val="21"/>
                      <w:lang w:val="en-US" w:eastAsia="zh-CN" w:bidi="ar-SA"/>
                    </w:rPr>
                    <w:t>并可查看成绩。</w:t>
                  </w:r>
                </w:p>
              </w:tc>
            </w:tr>
            <w:tr w14:paraId="6F69D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4"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2A8FCA9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605" w:type="dxa"/>
                  <w:vMerge w:val="continue"/>
                  <w:tcBorders>
                    <w:top w:val="nil"/>
                    <w:left w:val="nil"/>
                    <w:bottom w:val="single" w:color="000000" w:sz="4" w:space="0"/>
                    <w:right w:val="single" w:color="000000" w:sz="4" w:space="0"/>
                  </w:tcBorders>
                  <w:shd w:val="clear" w:color="auto" w:fill="auto"/>
                  <w:noWrap w:val="0"/>
                  <w:vAlign w:val="top"/>
                </w:tcPr>
                <w:p w14:paraId="17223F6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p>
              </w:tc>
              <w:tc>
                <w:tcPr>
                  <w:tcW w:w="785" w:type="dxa"/>
                  <w:tcBorders>
                    <w:top w:val="nil"/>
                    <w:left w:val="nil"/>
                    <w:bottom w:val="single" w:color="000000" w:sz="4" w:space="0"/>
                    <w:right w:val="single" w:color="000000" w:sz="4" w:space="0"/>
                  </w:tcBorders>
                  <w:shd w:val="clear" w:color="auto" w:fill="FFFFFF"/>
                  <w:noWrap w:val="0"/>
                  <w:vAlign w:val="top"/>
                </w:tcPr>
                <w:p w14:paraId="31BCF41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实操考试</w:t>
                  </w:r>
                </w:p>
              </w:tc>
              <w:tc>
                <w:tcPr>
                  <w:tcW w:w="3897" w:type="dxa"/>
                  <w:tcBorders>
                    <w:top w:val="nil"/>
                    <w:left w:val="nil"/>
                    <w:bottom w:val="single" w:color="000000" w:sz="4" w:space="0"/>
                    <w:right w:val="single" w:color="000000" w:sz="4" w:space="0"/>
                  </w:tcBorders>
                  <w:shd w:val="clear" w:color="auto" w:fill="FFFFFF"/>
                  <w:noWrap w:val="0"/>
                  <w:vAlign w:val="top"/>
                </w:tcPr>
                <w:p w14:paraId="70DD1F3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实操考试，需在实操软件的考试模式先进行考核完成后成绩会上传到后台。</w:t>
                  </w:r>
                </w:p>
              </w:tc>
            </w:tr>
          </w:tbl>
          <w:p w14:paraId="108B243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i w:val="0"/>
                <w:iCs w:val="0"/>
                <w:color w:val="auto"/>
                <w:sz w:val="21"/>
                <w:szCs w:val="21"/>
                <w:highlight w:val="none"/>
                <w:lang w:val="en-US" w:eastAsia="zh-CN"/>
              </w:rPr>
            </w:pPr>
          </w:p>
        </w:tc>
      </w:tr>
      <w:tr w14:paraId="32D3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795B2EA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2</w:t>
            </w:r>
          </w:p>
        </w:tc>
        <w:tc>
          <w:tcPr>
            <w:tcW w:w="1272" w:type="dxa"/>
            <w:noWrap w:val="0"/>
            <w:vAlign w:val="center"/>
          </w:tcPr>
          <w:p w14:paraId="14587A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专业知识问答模拟</w:t>
            </w:r>
            <w:r>
              <w:rPr>
                <w:rFonts w:hint="eastAsia" w:ascii="宋体" w:hAnsi="宋体" w:eastAsia="宋体" w:cs="宋体"/>
                <w:spacing w:val="-3"/>
                <w:kern w:val="0"/>
                <w:sz w:val="21"/>
                <w:szCs w:val="21"/>
                <w:lang w:val="en-US" w:eastAsia="zh-Hans" w:bidi="ar-SA"/>
              </w:rPr>
              <w:t>模块</w:t>
            </w:r>
          </w:p>
        </w:tc>
        <w:tc>
          <w:tcPr>
            <w:tcW w:w="6915" w:type="dxa"/>
            <w:noWrap w:val="0"/>
            <w:vAlign w:val="top"/>
          </w:tcPr>
          <w:p w14:paraId="5700F86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Hans" w:bidi="ar-SA"/>
              </w:rPr>
              <w:t>.</w:t>
            </w:r>
            <w:r>
              <w:rPr>
                <w:rFonts w:hint="eastAsia" w:ascii="宋体" w:hAnsi="宋体" w:eastAsia="宋体" w:cs="宋体"/>
                <w:spacing w:val="-3"/>
                <w:kern w:val="0"/>
                <w:sz w:val="21"/>
                <w:szCs w:val="21"/>
                <w:lang w:val="en-AU" w:eastAsia="en-US" w:bidi="ar-SA"/>
              </w:rPr>
              <w:t>专业知识问答题库管理模块，主要对专业知识问答题库的管理，专业管理、类型管理、试题上传等功能的管理，平台根据随机规则自动抽取每日一练、专项强化练习、顺序练习试题；</w:t>
            </w:r>
          </w:p>
          <w:p w14:paraId="40C51C9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2.专业知识问答界面功能板块需包含：顺序练习，每日一练，模拟考试，我的收藏，我的错题。</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42AFE01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w:t>
            </w:r>
            <w:r>
              <w:rPr>
                <w:rFonts w:hint="eastAsia" w:ascii="宋体" w:hAnsi="宋体" w:eastAsia="宋体" w:cs="宋体"/>
                <w:spacing w:val="-3"/>
                <w:kern w:val="0"/>
                <w:sz w:val="21"/>
                <w:szCs w:val="21"/>
                <w:lang w:val="en-AU" w:eastAsia="en-US" w:bidi="ar-SA"/>
              </w:rPr>
              <w:t>每道题答完之后会通过颜色显示选择是否正确（红色表示选择错误，绿色表示）并且给出正确答案，且答完后每个题后面有本题的答案解析。</w:t>
            </w:r>
          </w:p>
          <w:p w14:paraId="4C4A272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每道习题都有统计功能，统计本道题出错的次数及正确的次数</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每道习题都有收藏按钮，如果学生感觉本题比较典型或者出错次数较高可以点击收藏按钮，对本题进行收藏作为以后复习的重点对象。</w:t>
            </w:r>
          </w:p>
          <w:p w14:paraId="34154D7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5.</w:t>
            </w:r>
            <w:r>
              <w:rPr>
                <w:rFonts w:hint="eastAsia" w:ascii="宋体" w:hAnsi="宋体" w:eastAsia="宋体" w:cs="宋体"/>
                <w:spacing w:val="-3"/>
                <w:kern w:val="0"/>
                <w:sz w:val="21"/>
                <w:szCs w:val="21"/>
                <w:lang w:val="en-AU" w:eastAsia="en-US" w:bidi="ar-SA"/>
              </w:rPr>
              <w:t>每道习题都有“上一题”和“下一题”按钮。本道题答完之后既可以点击“下一题”按钮进入下一题也可点击“上一题”按钮进入上一题。也可点击答题卡上任意一题的序号进入该题。</w:t>
            </w:r>
          </w:p>
          <w:p w14:paraId="1BCD85F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6.</w:t>
            </w:r>
            <w:r>
              <w:rPr>
                <w:rFonts w:hint="eastAsia" w:ascii="宋体" w:hAnsi="宋体" w:eastAsia="宋体" w:cs="宋体"/>
                <w:spacing w:val="-3"/>
                <w:kern w:val="0"/>
                <w:sz w:val="21"/>
                <w:szCs w:val="21"/>
                <w:lang w:val="en-AU" w:eastAsia="en-US" w:bidi="ar-SA"/>
              </w:rPr>
              <w:t>每道习题答对后自动进入下一题选项，如果选择了此选项，答对本题后会自动进入下一道题，如果答错则不进入下一道题。</w:t>
            </w:r>
          </w:p>
          <w:p w14:paraId="69E5089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en-US" w:bidi="ar-SA"/>
              </w:rPr>
              <w:t>答题卡上方有时间提示，显示做题时长</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每日一练由计算机在题库中随机抽取10道题作为练习题</w:t>
            </w:r>
            <w:r>
              <w:rPr>
                <w:rFonts w:hint="eastAsia" w:ascii="宋体" w:hAnsi="宋体" w:eastAsia="宋体" w:cs="宋体"/>
                <w:spacing w:val="-3"/>
                <w:kern w:val="0"/>
                <w:sz w:val="21"/>
                <w:szCs w:val="21"/>
                <w:lang w:val="en-AU" w:eastAsia="zh-CN" w:bidi="ar-SA"/>
              </w:rPr>
              <w:t>。</w:t>
            </w:r>
          </w:p>
          <w:p w14:paraId="48E3A14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AU" w:eastAsia="en-US" w:bidi="ar-SA"/>
              </w:rPr>
              <w:t>每道题答完之后会通过颜色显示选择是否正确（红色表示选择错误，绿色表示）并且给出正确答案，且答完后每个题后面有本题的答案解析。</w:t>
            </w:r>
          </w:p>
          <w:p w14:paraId="352DE05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9.</w:t>
            </w:r>
            <w:r>
              <w:rPr>
                <w:rFonts w:hint="eastAsia" w:ascii="宋体" w:hAnsi="宋体" w:eastAsia="宋体" w:cs="宋体"/>
                <w:spacing w:val="-3"/>
                <w:kern w:val="0"/>
                <w:sz w:val="21"/>
                <w:szCs w:val="21"/>
                <w:lang w:val="en-AU" w:eastAsia="en-US" w:bidi="ar-SA"/>
              </w:rPr>
              <w:t>每道习题后面都有统计功能，统计本道题出错的次数及正确的次数；</w:t>
            </w:r>
          </w:p>
          <w:p w14:paraId="15F3B7D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10.</w:t>
            </w:r>
            <w:r>
              <w:rPr>
                <w:rFonts w:hint="eastAsia" w:ascii="宋体" w:hAnsi="宋体" w:eastAsia="宋体" w:cs="宋体"/>
                <w:spacing w:val="-3"/>
                <w:kern w:val="0"/>
                <w:sz w:val="21"/>
                <w:szCs w:val="21"/>
                <w:lang w:val="en-AU" w:eastAsia="en-US" w:bidi="ar-SA"/>
              </w:rPr>
              <w:t>每道习题后面都有收藏按钮，如果学生感觉本题比较典型或者出错次数较高可以收藏</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对本题进行收藏作为以后复习的重点对象。</w:t>
            </w:r>
          </w:p>
          <w:p w14:paraId="624F0AE4">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11.</w:t>
            </w:r>
            <w:r>
              <w:rPr>
                <w:rFonts w:hint="eastAsia" w:ascii="宋体" w:hAnsi="宋体" w:eastAsia="宋体" w:cs="宋体"/>
                <w:spacing w:val="-3"/>
                <w:kern w:val="0"/>
                <w:sz w:val="21"/>
                <w:szCs w:val="21"/>
                <w:lang w:val="en-AU" w:eastAsia="en-US" w:bidi="ar-SA"/>
              </w:rPr>
              <w:t>每道习题都有，“上一题”和“下一题”按钮。本道题答完之后既可以点击“下一题”按钮进入下一题也可点击“上一题”按钮进入上一题。也可点击答题卡上任意一题的序号进入该题。</w:t>
            </w:r>
          </w:p>
          <w:p w14:paraId="32FF28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12.</w:t>
            </w:r>
            <w:r>
              <w:rPr>
                <w:rFonts w:hint="eastAsia" w:ascii="宋体" w:hAnsi="宋体" w:eastAsia="宋体" w:cs="宋体"/>
                <w:spacing w:val="-3"/>
                <w:kern w:val="0"/>
                <w:sz w:val="21"/>
                <w:szCs w:val="21"/>
                <w:lang w:val="en-AU" w:eastAsia="en-US" w:bidi="ar-SA"/>
              </w:rPr>
              <w:t>每道习题答对自动进入下一题选项，如果选择了此选项，答对本题后会自动进入下一道题，如果答错则不进入下一道题。</w:t>
            </w:r>
          </w:p>
          <w:p w14:paraId="79CF29C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13.</w:t>
            </w:r>
            <w:r>
              <w:rPr>
                <w:rFonts w:hint="eastAsia" w:ascii="宋体" w:hAnsi="宋体" w:eastAsia="宋体" w:cs="宋体"/>
                <w:spacing w:val="-3"/>
                <w:kern w:val="0"/>
                <w:sz w:val="21"/>
                <w:szCs w:val="21"/>
                <w:lang w:val="en-AU" w:eastAsia="en-US" w:bidi="ar-SA"/>
              </w:rPr>
              <w:t>答题卡上方有时间提示，会显示做题时长；</w:t>
            </w:r>
          </w:p>
          <w:p w14:paraId="495EE41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14.</w:t>
            </w:r>
            <w:r>
              <w:rPr>
                <w:rFonts w:hint="eastAsia" w:ascii="宋体" w:hAnsi="宋体" w:eastAsia="宋体" w:cs="宋体"/>
                <w:b/>
                <w:bCs/>
                <w:spacing w:val="-3"/>
                <w:kern w:val="0"/>
                <w:sz w:val="21"/>
                <w:szCs w:val="21"/>
                <w:lang w:val="en-AU" w:eastAsia="en-US" w:bidi="ar-SA"/>
              </w:rPr>
              <w:t>模拟考核的界面</w:t>
            </w:r>
            <w:r>
              <w:rPr>
                <w:rFonts w:hint="eastAsia" w:ascii="宋体" w:hAnsi="宋体" w:eastAsia="宋体" w:cs="宋体"/>
                <w:b/>
                <w:bCs/>
                <w:spacing w:val="-3"/>
                <w:kern w:val="0"/>
                <w:sz w:val="21"/>
                <w:szCs w:val="21"/>
                <w:lang w:val="en-US" w:eastAsia="zh-Hans" w:bidi="ar-SA"/>
              </w:rPr>
              <w:t>及</w:t>
            </w:r>
            <w:r>
              <w:rPr>
                <w:rFonts w:hint="eastAsia" w:ascii="宋体" w:hAnsi="宋体" w:eastAsia="宋体" w:cs="宋体"/>
                <w:b/>
                <w:bCs/>
                <w:spacing w:val="-3"/>
                <w:kern w:val="0"/>
                <w:sz w:val="21"/>
                <w:szCs w:val="21"/>
                <w:lang w:val="en-AU" w:eastAsia="en-US" w:bidi="ar-SA"/>
              </w:rPr>
              <w:t>功能须</w:t>
            </w:r>
            <w:r>
              <w:rPr>
                <w:rFonts w:hint="eastAsia" w:ascii="宋体" w:hAnsi="宋体" w:eastAsia="宋体" w:cs="宋体"/>
                <w:b/>
                <w:bCs/>
                <w:spacing w:val="-3"/>
                <w:kern w:val="0"/>
                <w:sz w:val="21"/>
                <w:szCs w:val="21"/>
                <w:lang w:val="en-US" w:eastAsia="zh-Hans" w:bidi="ar-SA"/>
              </w:rPr>
              <w:t>满足</w:t>
            </w:r>
            <w:r>
              <w:rPr>
                <w:rFonts w:hint="eastAsia" w:ascii="宋体" w:hAnsi="宋体" w:eastAsia="宋体" w:cs="宋体"/>
                <w:b/>
                <w:bCs w:val="0"/>
                <w:color w:val="auto"/>
                <w:sz w:val="21"/>
                <w:szCs w:val="21"/>
                <w:highlight w:val="none"/>
                <w:u w:val="none"/>
                <w:lang w:val="en-US" w:eastAsia="zh-CN"/>
              </w:rPr>
              <w:t>全国路桥施工类技能大赛</w:t>
            </w:r>
            <w:r>
              <w:rPr>
                <w:rFonts w:hint="eastAsia" w:ascii="宋体" w:hAnsi="宋体" w:eastAsia="宋体" w:cs="宋体"/>
                <w:b/>
                <w:bCs/>
                <w:spacing w:val="-3"/>
                <w:kern w:val="0"/>
                <w:sz w:val="21"/>
                <w:szCs w:val="21"/>
                <w:lang w:val="en-AU" w:eastAsia="zh-CN" w:bidi="ar-SA"/>
              </w:rPr>
              <w:t>。</w:t>
            </w:r>
            <w:r>
              <w:rPr>
                <w:rFonts w:hint="eastAsia" w:ascii="宋体" w:hAnsi="宋体" w:eastAsia="宋体" w:cs="宋体"/>
                <w:b/>
                <w:bCs/>
                <w:spacing w:val="-3"/>
                <w:kern w:val="0"/>
                <w:sz w:val="21"/>
                <w:szCs w:val="21"/>
                <w:lang w:val="en-AU" w:eastAsia="en-US" w:bidi="ar-SA"/>
              </w:rPr>
              <w:t>登录进入后会显示模拟考试须知：考试介绍，考试纪律</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p w14:paraId="07586F2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lang w:val="en-US" w:eastAsia="zh-CN" w:bidi="ar-SA"/>
              </w:rPr>
              <w:t>15.</w:t>
            </w:r>
            <w:r>
              <w:rPr>
                <w:rFonts w:hint="eastAsia" w:ascii="宋体" w:hAnsi="宋体" w:eastAsia="宋体" w:cs="宋体"/>
                <w:spacing w:val="-3"/>
                <w:kern w:val="0"/>
                <w:sz w:val="21"/>
                <w:szCs w:val="21"/>
                <w:lang w:val="en-AU" w:eastAsia="en-US" w:bidi="ar-SA"/>
              </w:rPr>
              <w:t>开始进入模拟登录界面：填写模拟准考证号码及证件号码并进行模拟登录</w:t>
            </w:r>
            <w:r>
              <w:rPr>
                <w:rFonts w:hint="eastAsia" w:ascii="宋体" w:hAnsi="宋体" w:eastAsia="宋体" w:cs="宋体"/>
                <w:spacing w:val="-3"/>
                <w:kern w:val="0"/>
                <w:sz w:val="21"/>
                <w:szCs w:val="21"/>
                <w:lang w:eastAsia="en-US" w:bidi="ar-SA"/>
              </w:rPr>
              <w:t>。</w:t>
            </w:r>
          </w:p>
          <w:p w14:paraId="6380120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lang w:val="en-US" w:eastAsia="zh-CN" w:bidi="ar-SA"/>
              </w:rPr>
              <w:t>16.</w:t>
            </w:r>
            <w:r>
              <w:rPr>
                <w:rFonts w:hint="eastAsia" w:ascii="宋体" w:hAnsi="宋体" w:eastAsia="宋体" w:cs="宋体"/>
                <w:spacing w:val="-3"/>
                <w:kern w:val="0"/>
                <w:sz w:val="21"/>
                <w:szCs w:val="21"/>
                <w:lang w:val="en-AU" w:eastAsia="en-US" w:bidi="ar-SA"/>
              </w:rPr>
              <w:t>登录进入后会显示模拟考生的基本信息：姓名，性别，准考证号，身份证号信息</w:t>
            </w:r>
            <w:r>
              <w:rPr>
                <w:rFonts w:hint="eastAsia" w:ascii="宋体" w:hAnsi="宋体" w:eastAsia="宋体" w:cs="宋体"/>
                <w:spacing w:val="-3"/>
                <w:kern w:val="0"/>
                <w:sz w:val="21"/>
                <w:szCs w:val="21"/>
                <w:lang w:eastAsia="en-US" w:bidi="ar-SA"/>
              </w:rPr>
              <w:t>。</w:t>
            </w:r>
          </w:p>
          <w:p w14:paraId="0CF71A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17.</w:t>
            </w:r>
            <w:r>
              <w:rPr>
                <w:rFonts w:hint="eastAsia" w:ascii="宋体" w:hAnsi="宋体" w:eastAsia="宋体" w:cs="宋体"/>
                <w:spacing w:val="-3"/>
                <w:kern w:val="0"/>
                <w:sz w:val="21"/>
                <w:szCs w:val="21"/>
                <w:lang w:val="en-AU" w:eastAsia="en-US" w:bidi="ar-SA"/>
              </w:rPr>
              <w:t>模拟考试介绍：会对考试的试题的数量，考试的时间等基本内容进行介绍</w:t>
            </w:r>
            <w:r>
              <w:rPr>
                <w:rFonts w:hint="eastAsia" w:ascii="宋体" w:hAnsi="宋体" w:eastAsia="宋体" w:cs="宋体"/>
                <w:spacing w:val="-3"/>
                <w:kern w:val="0"/>
                <w:sz w:val="21"/>
                <w:szCs w:val="21"/>
                <w:lang w:val="en-AU" w:eastAsia="zh-CN" w:bidi="ar-SA"/>
              </w:rPr>
              <w:t>。</w:t>
            </w:r>
          </w:p>
          <w:p w14:paraId="6074EEC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18.</w:t>
            </w:r>
            <w:r>
              <w:rPr>
                <w:rFonts w:hint="eastAsia" w:ascii="宋体" w:hAnsi="宋体" w:eastAsia="宋体" w:cs="宋体"/>
                <w:spacing w:val="-3"/>
                <w:kern w:val="0"/>
                <w:sz w:val="21"/>
                <w:szCs w:val="21"/>
                <w:lang w:val="en-AU" w:eastAsia="en-US" w:bidi="ar-SA"/>
              </w:rPr>
              <w:t>模拟考试纪律：会对考试的规则，考场的纪</w:t>
            </w:r>
            <w:r>
              <w:rPr>
                <w:rFonts w:hint="eastAsia" w:ascii="宋体" w:hAnsi="宋体" w:eastAsia="宋体" w:cs="宋体"/>
                <w:color w:val="auto"/>
                <w:spacing w:val="-3"/>
                <w:kern w:val="0"/>
                <w:sz w:val="21"/>
                <w:szCs w:val="21"/>
                <w:lang w:val="en-AU" w:eastAsia="en-US" w:bidi="ar-SA"/>
              </w:rPr>
              <w:t>律等</w:t>
            </w:r>
            <w:r>
              <w:rPr>
                <w:rFonts w:hint="eastAsia" w:ascii="宋体" w:hAnsi="宋体" w:eastAsia="宋体" w:cs="宋体"/>
                <w:color w:val="auto"/>
                <w:spacing w:val="-3"/>
                <w:kern w:val="0"/>
                <w:sz w:val="21"/>
                <w:szCs w:val="21"/>
                <w:highlight w:val="none"/>
                <w:lang w:val="en-AU" w:eastAsia="en-US" w:bidi="ar-SA"/>
              </w:rPr>
              <w:t>基本内容进行介绍</w:t>
            </w:r>
            <w:r>
              <w:rPr>
                <w:rFonts w:hint="eastAsia" w:ascii="宋体" w:hAnsi="宋体" w:eastAsia="宋体" w:cs="宋体"/>
                <w:color w:val="auto"/>
                <w:spacing w:val="-3"/>
                <w:kern w:val="0"/>
                <w:sz w:val="21"/>
                <w:szCs w:val="21"/>
                <w:highlight w:val="none"/>
                <w:lang w:val="en-AU" w:eastAsia="zh-CN" w:bidi="ar-SA"/>
              </w:rPr>
              <w:t>。</w:t>
            </w:r>
          </w:p>
          <w:p w14:paraId="3FB3FBC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19.</w:t>
            </w:r>
            <w:r>
              <w:rPr>
                <w:rFonts w:hint="eastAsia" w:ascii="宋体" w:hAnsi="宋体" w:eastAsia="宋体" w:cs="宋体"/>
                <w:spacing w:val="-3"/>
                <w:kern w:val="0"/>
                <w:sz w:val="21"/>
                <w:szCs w:val="21"/>
                <w:lang w:val="en-AU" w:eastAsia="en-US" w:bidi="ar-SA"/>
              </w:rPr>
              <w:t>将模拟考试介绍及考试纪律认真学习完成后点击开始考试按钮进入正式模拟考试界面。</w:t>
            </w:r>
          </w:p>
          <w:p w14:paraId="52FB614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20.</w:t>
            </w:r>
            <w:r>
              <w:rPr>
                <w:rFonts w:hint="eastAsia" w:ascii="宋体" w:hAnsi="宋体" w:eastAsia="宋体" w:cs="宋体"/>
                <w:spacing w:val="-3"/>
                <w:kern w:val="0"/>
                <w:sz w:val="21"/>
                <w:szCs w:val="21"/>
                <w:lang w:val="en-AU" w:eastAsia="en-US" w:bidi="ar-SA"/>
              </w:rPr>
              <w:t>模拟考试界面上显示考试剩余时间，用于实时提醒考生的剩余时间。让学生可以很好的把握时间。</w:t>
            </w:r>
          </w:p>
          <w:p w14:paraId="3162304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21.</w:t>
            </w:r>
            <w:r>
              <w:rPr>
                <w:rFonts w:hint="eastAsia" w:ascii="宋体" w:hAnsi="宋体" w:eastAsia="宋体" w:cs="宋体"/>
                <w:spacing w:val="-3"/>
                <w:kern w:val="0"/>
                <w:sz w:val="21"/>
                <w:szCs w:val="21"/>
                <w:lang w:val="en-AU" w:eastAsia="en-US" w:bidi="ar-SA"/>
              </w:rPr>
              <w:t>每道考题都有，“上一题”和“下一题”按钮。本道题答完之后既可以点击“下一题”按钮进入下一题也可点击“上一题”按钮进入上一题。也可点击答题卡上任意一题的序号进入该题。答题卡上会通过颜色的变化显示题的作答与否，如已作答会显示蓝色，未作答会显示白色。</w:t>
            </w:r>
          </w:p>
          <w:p w14:paraId="7BC18C1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22.</w:t>
            </w:r>
            <w:r>
              <w:rPr>
                <w:rFonts w:hint="eastAsia" w:ascii="宋体" w:hAnsi="宋体" w:eastAsia="宋体" w:cs="宋体"/>
                <w:spacing w:val="-3"/>
                <w:kern w:val="0"/>
                <w:sz w:val="21"/>
                <w:szCs w:val="21"/>
                <w:lang w:val="en-AU" w:eastAsia="en-US" w:bidi="ar-SA"/>
              </w:rPr>
              <w:t>考试时间到达之前需要点击交卷按钮进行交卷，点击交卷按钮后会提示</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提交后将不能继续答题，确认提交吗。如果确认交卷点击确定按钮，如果不确定可点击取消按钮进行作答。</w:t>
            </w:r>
            <w:r>
              <w:rPr>
                <w:rFonts w:hint="eastAsia" w:ascii="宋体" w:hAnsi="宋体" w:eastAsia="宋体" w:cs="宋体"/>
                <w:spacing w:val="-3"/>
                <w:kern w:val="0"/>
                <w:sz w:val="21"/>
                <w:szCs w:val="21"/>
                <w:lang w:val="en-AU" w:eastAsia="zh-CN" w:bidi="ar-SA"/>
              </w:rPr>
              <w:t>”</w:t>
            </w:r>
          </w:p>
          <w:p w14:paraId="1D310DA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23</w:t>
            </w:r>
            <w:r>
              <w:rPr>
                <w:rFonts w:hint="eastAsia" w:ascii="宋体" w:hAnsi="宋体" w:eastAsia="宋体" w:cs="宋体"/>
                <w:spacing w:val="-3"/>
                <w:kern w:val="0"/>
                <w:sz w:val="21"/>
                <w:szCs w:val="21"/>
                <w:lang w:val="en-AU" w:eastAsia="en-US" w:bidi="ar-SA"/>
              </w:rPr>
              <w:t>.“我的收藏”里面有考生收藏的一</w:t>
            </w:r>
            <w:r>
              <w:rPr>
                <w:rFonts w:hint="eastAsia" w:ascii="宋体" w:hAnsi="宋体" w:eastAsia="宋体" w:cs="宋体"/>
                <w:spacing w:val="-3"/>
                <w:kern w:val="0"/>
                <w:sz w:val="21"/>
                <w:szCs w:val="21"/>
                <w:lang w:val="en-AU" w:eastAsia="zh-CN" w:bidi="ar-SA"/>
              </w:rPr>
              <w:t>些</w:t>
            </w:r>
            <w:r>
              <w:rPr>
                <w:rFonts w:hint="eastAsia" w:ascii="宋体" w:hAnsi="宋体" w:eastAsia="宋体" w:cs="宋体"/>
                <w:spacing w:val="-3"/>
                <w:kern w:val="0"/>
                <w:sz w:val="21"/>
                <w:szCs w:val="21"/>
                <w:lang w:val="en-AU" w:eastAsia="en-US" w:bidi="ar-SA"/>
              </w:rPr>
              <w:t>典型试题及错误率较高的试题，用于重点复习我的错题</w:t>
            </w:r>
          </w:p>
          <w:p w14:paraId="4F2022C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24</w:t>
            </w:r>
            <w:r>
              <w:rPr>
                <w:rFonts w:hint="eastAsia" w:ascii="宋体" w:hAnsi="宋体" w:eastAsia="宋体" w:cs="宋体"/>
                <w:spacing w:val="-3"/>
                <w:kern w:val="0"/>
                <w:sz w:val="21"/>
                <w:szCs w:val="21"/>
                <w:lang w:val="en-US" w:eastAsia="zh-Hans" w:bidi="ar-SA"/>
              </w:rPr>
              <w:t>.</w:t>
            </w:r>
            <w:r>
              <w:rPr>
                <w:rFonts w:hint="eastAsia" w:ascii="宋体" w:hAnsi="宋体" w:eastAsia="宋体" w:cs="宋体"/>
                <w:spacing w:val="-3"/>
                <w:kern w:val="0"/>
                <w:sz w:val="21"/>
                <w:szCs w:val="21"/>
                <w:lang w:val="en-AU" w:eastAsia="en-US" w:bidi="ar-SA"/>
              </w:rPr>
              <w:t>“我的错题”包含有学生练习时做错的所有试题，考生可以对做错的试题进行重新作答并进行强化</w:t>
            </w:r>
          </w:p>
          <w:p w14:paraId="6ECCA1C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25</w:t>
            </w:r>
            <w:r>
              <w:rPr>
                <w:rFonts w:hint="eastAsia" w:ascii="宋体" w:hAnsi="宋体" w:eastAsia="宋体" w:cs="宋体"/>
                <w:b/>
                <w:bCs/>
                <w:spacing w:val="-3"/>
                <w:kern w:val="0"/>
                <w:sz w:val="21"/>
                <w:szCs w:val="21"/>
                <w:lang w:val="en-AU" w:eastAsia="en-US" w:bidi="ar-SA"/>
              </w:rPr>
              <w:t>.软件出厂时，后台题库已初始化含不少于1500（含中职、高职、本科）道试题。</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tc>
      </w:tr>
      <w:tr w14:paraId="108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695" w:type="dxa"/>
            <w:noWrap w:val="0"/>
            <w:vAlign w:val="center"/>
          </w:tcPr>
          <w:p w14:paraId="1F38AE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3</w:t>
            </w:r>
          </w:p>
        </w:tc>
        <w:tc>
          <w:tcPr>
            <w:tcW w:w="1272" w:type="dxa"/>
            <w:noWrap w:val="0"/>
            <w:vAlign w:val="center"/>
          </w:tcPr>
          <w:p w14:paraId="197C1EE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sz w:val="21"/>
                <w:szCs w:val="21"/>
                <w:lang w:val="en-US" w:eastAsia="zh-CN"/>
              </w:rPr>
              <w:t>路桥</w:t>
            </w:r>
            <w:r>
              <w:rPr>
                <w:rFonts w:hint="eastAsia" w:ascii="宋体" w:hAnsi="宋体" w:eastAsia="宋体" w:cs="宋体"/>
                <w:b w:val="0"/>
                <w:bCs/>
                <w:sz w:val="21"/>
                <w:szCs w:val="21"/>
              </w:rPr>
              <w:t>施工工艺模拟实操模块</w:t>
            </w:r>
          </w:p>
        </w:tc>
        <w:tc>
          <w:tcPr>
            <w:tcW w:w="6915" w:type="dxa"/>
            <w:noWrap w:val="0"/>
            <w:vAlign w:val="top"/>
          </w:tcPr>
          <w:p w14:paraId="766E7A3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1.满足</w:t>
            </w:r>
            <w:r>
              <w:rPr>
                <w:rFonts w:hint="eastAsia" w:ascii="宋体" w:hAnsi="宋体" w:eastAsia="宋体" w:cs="宋体"/>
                <w:spacing w:val="-3"/>
                <w:kern w:val="0"/>
                <w:sz w:val="21"/>
                <w:szCs w:val="21"/>
                <w:u w:val="none"/>
                <w:lang w:val="en-US" w:eastAsia="zh-CN" w:bidi="ar-SA"/>
              </w:rPr>
              <w:t>我校铁道工程技术专业群路桥类课程基本教学、专业技能</w:t>
            </w:r>
            <w:r>
              <w:rPr>
                <w:rFonts w:hint="eastAsia" w:ascii="宋体" w:hAnsi="宋体" w:eastAsia="宋体" w:cs="宋体"/>
                <w:spacing w:val="-3"/>
                <w:kern w:val="0"/>
                <w:sz w:val="21"/>
                <w:szCs w:val="21"/>
                <w:lang w:val="en-AU" w:eastAsia="en-US" w:bidi="ar-SA"/>
              </w:rPr>
              <w:t>仿真实训要求；</w:t>
            </w:r>
          </w:p>
          <w:p w14:paraId="37B8BA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2.施工工艺模拟实操管理模块，主要是对仿真实训及模拟考试管理，创建试卷（选择实训模块）、考试管理关联创建的试卷、选择考试班级、设置考试时间、查看考试日志；在线监考，查看考试人数、正考人数、考完人数、总人数。成绩管理，查看班级总成绩。</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7B978AD6">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3.</w:t>
            </w:r>
            <w:r>
              <w:rPr>
                <w:rFonts w:hint="eastAsia" w:ascii="宋体" w:hAnsi="宋体" w:eastAsia="宋体" w:cs="宋体"/>
                <w:spacing w:val="-3"/>
                <w:kern w:val="0"/>
                <w:sz w:val="21"/>
                <w:szCs w:val="21"/>
                <w:lang w:val="en-AU" w:eastAsia="en-US" w:bidi="ar-SA"/>
              </w:rPr>
              <w:t>平台本地部署方式，支持客户端数据与管理对接，支持客户端运行，备考模拟不受地域、时间，模拟过程记录保存</w:t>
            </w:r>
            <w:r>
              <w:rPr>
                <w:rFonts w:hint="eastAsia" w:ascii="宋体" w:hAnsi="宋体" w:eastAsia="宋体" w:cs="宋体"/>
                <w:spacing w:val="-3"/>
                <w:kern w:val="0"/>
                <w:sz w:val="21"/>
                <w:szCs w:val="21"/>
                <w:lang w:val="en-AU" w:eastAsia="zh-CN" w:bidi="ar-SA"/>
              </w:rPr>
              <w:t>。</w:t>
            </w:r>
          </w:p>
          <w:p w14:paraId="695FBAF3">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4.</w:t>
            </w:r>
            <w:r>
              <w:rPr>
                <w:rFonts w:hint="eastAsia" w:ascii="宋体" w:hAnsi="宋体" w:eastAsia="宋体" w:cs="宋体"/>
                <w:spacing w:val="-3"/>
                <w:kern w:val="0"/>
                <w:sz w:val="21"/>
                <w:szCs w:val="21"/>
                <w:lang w:val="en-AU" w:eastAsia="en-US" w:bidi="ar-SA"/>
              </w:rPr>
              <w:t>平台软件实操以3D 技术为依托，综合行业规范、贯穿教学重难点、实现真实施工场景仿真模拟及流程动态演示、人机交互式操作；</w:t>
            </w:r>
          </w:p>
          <w:p w14:paraId="7B2357E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5.平台分为两种模式，练习模式及考核模式，考核模式均可以由教师后台自由组建任务。</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0A51F4B3">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6.根据给定施工工艺项目，完成该项目的人才机选择，按照</w:t>
            </w:r>
            <w:r>
              <w:rPr>
                <w:rFonts w:hint="eastAsia" w:ascii="宋体" w:hAnsi="宋体" w:eastAsia="宋体" w:cs="宋体"/>
                <w:spacing w:val="-3"/>
                <w:kern w:val="0"/>
                <w:sz w:val="21"/>
                <w:szCs w:val="21"/>
                <w:lang w:val="en-US" w:eastAsia="zh-CN" w:bidi="ar-SA"/>
              </w:rPr>
              <w:t>路桥施工</w:t>
            </w:r>
            <w:r>
              <w:rPr>
                <w:rFonts w:hint="eastAsia" w:ascii="宋体" w:hAnsi="宋体" w:eastAsia="宋体" w:cs="宋体"/>
                <w:spacing w:val="-3"/>
                <w:kern w:val="0"/>
                <w:sz w:val="21"/>
                <w:szCs w:val="21"/>
                <w:lang w:val="en-AU" w:eastAsia="en-US" w:bidi="ar-SA"/>
              </w:rPr>
              <w:t>工艺流程进行技能模拟操作。</w:t>
            </w:r>
          </w:p>
          <w:p w14:paraId="0F92772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US" w:eastAsia="zh-CN" w:bidi="ar-SA"/>
              </w:rPr>
              <w:t>练习模式按工艺流程进行交互操作（操作过程中摄像机视角发生变化，视角变化需要是圆滑移动旋转，操作过程中有语音提示，语音提示分为：文本和音频，语音的作用是为了提示学生下一步应该如何操作及相关专业知识），交互可进行工艺步骤跳转。每一步动画都可重复，暂停，回播功能，便于老师实时讲解工艺细节。动画可调节远近及旋转观看各个角度工艺细节。界面中可进行工具的栏选择，工具栏包含此节点的所有用到的工具、材料、机械 。</w:t>
            </w:r>
          </w:p>
          <w:p w14:paraId="0989A21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zh-CN" w:bidi="ar-SA"/>
              </w:rPr>
              <w:t>8.</w:t>
            </w:r>
            <w:r>
              <w:rPr>
                <w:rFonts w:hint="eastAsia" w:ascii="宋体" w:hAnsi="宋体" w:eastAsia="宋体" w:cs="宋体"/>
                <w:b/>
                <w:bCs/>
                <w:spacing w:val="-3"/>
                <w:kern w:val="0"/>
                <w:sz w:val="21"/>
                <w:szCs w:val="21"/>
                <w:lang w:val="en-US" w:eastAsia="zh-CN" w:bidi="ar-SA"/>
              </w:rPr>
              <w:t>考核模式按工艺流程进行交互操作，动画可调节远近及旋转观看各个角度工艺细节。界面中可进行工具栏选择，工具栏包含此节点的所有用到的工具、材料、机械 。考核数据自动对接模拟平台。</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2832E01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9.施工工艺分项任务必须满足下表内容。</w:t>
            </w:r>
          </w:p>
          <w:tbl>
            <w:tblPr>
              <w:tblStyle w:val="18"/>
              <w:tblW w:w="6498" w:type="dxa"/>
              <w:tblInd w:w="0" w:type="dxa"/>
              <w:tblLayout w:type="fixed"/>
              <w:tblCellMar>
                <w:top w:w="0" w:type="dxa"/>
                <w:left w:w="108" w:type="dxa"/>
                <w:bottom w:w="0" w:type="dxa"/>
                <w:right w:w="108" w:type="dxa"/>
              </w:tblCellMar>
            </w:tblPr>
            <w:tblGrid>
              <w:gridCol w:w="442"/>
              <w:gridCol w:w="2031"/>
              <w:gridCol w:w="4025"/>
            </w:tblGrid>
            <w:tr w14:paraId="08565222">
              <w:tblPrEx>
                <w:tblCellMar>
                  <w:top w:w="0" w:type="dxa"/>
                  <w:left w:w="108" w:type="dxa"/>
                  <w:bottom w:w="0" w:type="dxa"/>
                  <w:right w:w="108" w:type="dxa"/>
                </w:tblCellMar>
              </w:tblPrEx>
              <w:trPr>
                <w:trHeight w:val="367" w:hRule="atLeast"/>
              </w:trPr>
              <w:tc>
                <w:tcPr>
                  <w:tcW w:w="442" w:type="dxa"/>
                  <w:tcBorders>
                    <w:top w:val="single" w:color="000000" w:sz="4" w:space="0"/>
                    <w:left w:val="single" w:color="000000" w:sz="4" w:space="0"/>
                    <w:bottom w:val="single" w:color="000000" w:sz="4" w:space="0"/>
                    <w:right w:val="nil"/>
                  </w:tcBorders>
                  <w:noWrap/>
                  <w:vAlign w:val="center"/>
                </w:tcPr>
                <w:p w14:paraId="2BF7FB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序号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14:paraId="1DFF57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节点名称</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67A3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内容</w:t>
                  </w:r>
                </w:p>
              </w:tc>
            </w:tr>
            <w:tr w14:paraId="12F1490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8C597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D4F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板式桥梁支座施工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A232F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FF9672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ACB24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481D9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桥台侧墙施工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D52B2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094836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70047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004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承台施工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59F5E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DA995D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F8DEC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8BA8F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搭设脚手架</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47A1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CA166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9AA09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B884D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搭板施工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DA718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C91E738">
              <w:tblPrEx>
                <w:tblCellMar>
                  <w:top w:w="0" w:type="dxa"/>
                  <w:left w:w="108" w:type="dxa"/>
                  <w:bottom w:w="0" w:type="dxa"/>
                  <w:right w:w="108" w:type="dxa"/>
                </w:tblCellMar>
              </w:tblPrEx>
              <w:trPr>
                <w:trHeight w:val="316" w:hRule="atLeast"/>
              </w:trPr>
              <w:tc>
                <w:tcPr>
                  <w:tcW w:w="442" w:type="dxa"/>
                  <w:tcBorders>
                    <w:top w:val="single" w:color="000000" w:sz="4" w:space="0"/>
                    <w:left w:val="single" w:color="000000" w:sz="4" w:space="0"/>
                    <w:bottom w:val="single" w:color="000000" w:sz="4" w:space="0"/>
                    <w:right w:val="nil"/>
                  </w:tcBorders>
                  <w:noWrap/>
                  <w:vAlign w:val="center"/>
                </w:tcPr>
                <w:p w14:paraId="2B7594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89FA2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搭板钢筋施工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043A5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D82392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54A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16767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等截面箱梁施工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71BBE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683EC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110BF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17F0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灯柱安装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A816D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491128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A9868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US" w:eastAsia="zh-CN" w:bidi="ar-SA"/>
                    </w:rPr>
                    <w:t>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B42F5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墩柱混凝土施工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5325E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4AD662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514D4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31B28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墩柱模板施工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6D68E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FB1A85A">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50884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24AFE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盖梁施工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96B4E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EC1CB0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7FD4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2283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护栏施工（桥）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ACCFA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3EC6D7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8A30F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29653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T梁预应力筋的加工和张拉</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B656F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7914D8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9A7F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18AF5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栏杆安装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78D06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630E2F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C9DE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877F3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墩柱钢筋施工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CE1B8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C59BF3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AE7E1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C5447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桥面防水层施工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B6F20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D37631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42870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07F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桥面铺装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E9547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E24E96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F8DC8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1</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7467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桥面铺装钢筋安装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FC2D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CEC263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332BB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19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F3EF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桥台基础施工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E1845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6BE4AF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08158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246DC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桥台台身施工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29D6E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1520DC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003CE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C0958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人行道铺设</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E35EC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29235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0436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C502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伸缩缝施工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4765F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E54A13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ECC4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1961D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伸缩缝钢筋安装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DF82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FDA78E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E88F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5B11B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台背填土</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22860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2EF56F6">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06FD3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C8AC7D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砼护栏钢筋安装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00720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19FC54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D67B5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0B62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T梁钢筋安装</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77C38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019F0C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42C54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280C8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系梁施工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09094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EC9EC8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F72DA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2</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8B684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架梁施工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DA28B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2DB9E7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726BE1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29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D140A6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桩基施工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2A962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3BB19E9">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97DF15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8573F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盆式橡胶支座施工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35C03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86EF23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C545F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C8F21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支座垫石和挡块施工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0FBD14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2DC03B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C07E1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A5D67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袋装砂井排水施工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395CF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3C73B3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F317D7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CDA64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扶壁式挡土墙施工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6FB06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AEC11DC">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11FF7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E27D0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防眩板安装施工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A037E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458A677">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E6367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49B1E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盖板涵施工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7F3B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67FDB5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67A04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9C68B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管涵施工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D0676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D7A52E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C3DE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DD1F0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骨架植物防护施工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2CD13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494ECD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57DBC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3</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C80F6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隔离墩施工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0E143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9C154A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93FA8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39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32C61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隔离栅施工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40A02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6986A1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19C26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6E630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护栏施工（路）</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CFBDC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CFA12D9">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D9BEE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FC6BC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加筋挡土墙施工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D2AA8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763FD6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7B9F7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04FF5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级配砂砾基层施工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AF5A4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9F28E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5D5A6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7B78A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级配碎石基层施工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E591F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14B978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7B268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34D2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沥青贯入式面层施工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B4959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02D209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06B21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43F1B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96283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30055E6">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5388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5A2F1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重力式挡土墙施工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64E30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67C2D1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41941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31134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暗沟施工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0E07F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FA22FA5">
              <w:tblPrEx>
                <w:tblCellMar>
                  <w:top w:w="0" w:type="dxa"/>
                  <w:left w:w="108" w:type="dxa"/>
                  <w:bottom w:w="0" w:type="dxa"/>
                  <w:right w:w="108" w:type="dxa"/>
                </w:tblCellMar>
              </w:tblPrEx>
              <w:trPr>
                <w:trHeight w:val="316" w:hRule="atLeast"/>
              </w:trPr>
              <w:tc>
                <w:tcPr>
                  <w:tcW w:w="442" w:type="dxa"/>
                  <w:tcBorders>
                    <w:top w:val="single" w:color="000000" w:sz="4" w:space="0"/>
                    <w:left w:val="single" w:color="000000" w:sz="4" w:space="0"/>
                    <w:bottom w:val="single" w:color="000000" w:sz="4" w:space="0"/>
                    <w:right w:val="nil"/>
                  </w:tcBorders>
                  <w:noWrap/>
                  <w:vAlign w:val="center"/>
                </w:tcPr>
                <w:p w14:paraId="301C18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4</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BE3CE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路肩施工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4CADA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9B7187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C6C0F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49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4E8FC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沥青混合料人行道铺筑面层施工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93A93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6FA724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61986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BE657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热拌沥青混合料面层施工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524ED8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F1B38CE">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95360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F9D2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路缘石施工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A4A25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3FE3370">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9AE31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027FE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锚锭挡土墙施工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4AFE7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05C85A1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5D5526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F2E0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混凝土预制块人行道铺砌面层施工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6F365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A48D42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74B8E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53B46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乳化沥青碎石混凝料路面施工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37151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78BAFB5">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863343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0C72E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砂垫层施工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64C5B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8166098">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4CCE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CC0A0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石方路堑开挖施工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D5E61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8EDF40B">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6FC0D6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7</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F7D5A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石灰粉煤灰稳定碎石基层施工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736750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E65FBDD">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113787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w:t>
                  </w:r>
                  <w:r>
                    <w:rPr>
                      <w:rFonts w:hint="eastAsia" w:ascii="宋体" w:hAnsi="宋体" w:eastAsia="宋体" w:cs="宋体"/>
                      <w:spacing w:val="-3"/>
                      <w:kern w:val="0"/>
                      <w:sz w:val="21"/>
                      <w:szCs w:val="21"/>
                      <w:lang w:val="en-US" w:eastAsia="zh-CN" w:bidi="ar-SA"/>
                    </w:rPr>
                    <w:t>8</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C67CB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石灰土垫层施工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20221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7FE0F33F">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0A9A74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lang w:val="en-US" w:eastAsia="zh-CN" w:bidi="ar-SA"/>
                    </w:rPr>
                    <w:t>59</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10853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石灰土基层施工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9EBDE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0780D73">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2572FC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0</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5AB75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塑料板排水施工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4794D4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54E7B221">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4B57D8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5F2C9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水泥混凝土路面施工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B54F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4E0B5CD4">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2A954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45683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水泥混凝土面层滑模法施工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249CB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1A0ABDB2">
              <w:tblPrEx>
                <w:tblCellMar>
                  <w:top w:w="0" w:type="dxa"/>
                  <w:left w:w="108" w:type="dxa"/>
                  <w:bottom w:w="0" w:type="dxa"/>
                  <w:right w:w="108" w:type="dxa"/>
                </w:tblCellMar>
              </w:tblPrEx>
              <w:trPr>
                <w:trHeight w:val="622" w:hRule="atLeast"/>
              </w:trPr>
              <w:tc>
                <w:tcPr>
                  <w:tcW w:w="442" w:type="dxa"/>
                  <w:tcBorders>
                    <w:top w:val="single" w:color="000000" w:sz="4" w:space="0"/>
                    <w:left w:val="single" w:color="000000" w:sz="4" w:space="0"/>
                    <w:bottom w:val="single" w:color="000000" w:sz="4" w:space="0"/>
                    <w:right w:val="nil"/>
                  </w:tcBorders>
                  <w:noWrap/>
                  <w:vAlign w:val="center"/>
                </w:tcPr>
                <w:p w14:paraId="31F5F1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AF49D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声屏障施工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1EF7FB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38E18F0D">
              <w:tblPrEx>
                <w:tblCellMar>
                  <w:top w:w="0" w:type="dxa"/>
                  <w:left w:w="108" w:type="dxa"/>
                  <w:bottom w:w="0" w:type="dxa"/>
                  <w:right w:w="108" w:type="dxa"/>
                </w:tblCellMar>
              </w:tblPrEx>
              <w:trPr>
                <w:trHeight w:val="910" w:hRule="atLeast"/>
              </w:trPr>
              <w:tc>
                <w:tcPr>
                  <w:tcW w:w="442" w:type="dxa"/>
                  <w:tcBorders>
                    <w:top w:val="single" w:color="000000" w:sz="4" w:space="0"/>
                    <w:left w:val="single" w:color="000000" w:sz="4" w:space="0"/>
                    <w:bottom w:val="single" w:color="000000" w:sz="4" w:space="0"/>
                    <w:right w:val="nil"/>
                  </w:tcBorders>
                  <w:noWrap/>
                  <w:vAlign w:val="center"/>
                </w:tcPr>
                <w:p w14:paraId="7F6A27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91C6C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土路基填筑</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672A29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2128A2D9">
              <w:tblPrEx>
                <w:tblCellMar>
                  <w:top w:w="0" w:type="dxa"/>
                  <w:left w:w="108" w:type="dxa"/>
                  <w:bottom w:w="0" w:type="dxa"/>
                  <w:right w:w="108" w:type="dxa"/>
                </w:tblCellMar>
              </w:tblPrEx>
              <w:trPr>
                <w:trHeight w:val="227" w:hRule="atLeast"/>
              </w:trPr>
              <w:tc>
                <w:tcPr>
                  <w:tcW w:w="442" w:type="dxa"/>
                  <w:tcBorders>
                    <w:top w:val="single" w:color="000000" w:sz="4" w:space="0"/>
                    <w:left w:val="single" w:color="000000" w:sz="4" w:space="0"/>
                    <w:bottom w:val="single" w:color="000000" w:sz="4" w:space="0"/>
                    <w:right w:val="nil"/>
                  </w:tcBorders>
                  <w:noWrap/>
                  <w:vAlign w:val="center"/>
                </w:tcPr>
                <w:p w14:paraId="2ACCC8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5</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F96B9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土路堑开挖施工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3FD2BA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r w14:paraId="64AD29A7">
              <w:tblPrEx>
                <w:tblCellMar>
                  <w:top w:w="0" w:type="dxa"/>
                  <w:left w:w="108" w:type="dxa"/>
                  <w:bottom w:w="0" w:type="dxa"/>
                  <w:right w:w="108" w:type="dxa"/>
                </w:tblCellMar>
              </w:tblPrEx>
              <w:trPr>
                <w:trHeight w:val="631" w:hRule="atLeast"/>
              </w:trPr>
              <w:tc>
                <w:tcPr>
                  <w:tcW w:w="442" w:type="dxa"/>
                  <w:tcBorders>
                    <w:top w:val="single" w:color="000000" w:sz="4" w:space="0"/>
                    <w:left w:val="single" w:color="000000" w:sz="4" w:space="0"/>
                    <w:bottom w:val="single" w:color="000000" w:sz="4" w:space="0"/>
                    <w:right w:val="nil"/>
                  </w:tcBorders>
                  <w:noWrap/>
                  <w:vAlign w:val="center"/>
                </w:tcPr>
                <w:p w14:paraId="5B8550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6</w:t>
                  </w:r>
                  <w:r>
                    <w:rPr>
                      <w:rFonts w:hint="eastAsia" w:ascii="宋体" w:hAnsi="宋体" w:eastAsia="宋体" w:cs="宋体"/>
                      <w:spacing w:val="-3"/>
                      <w:kern w:val="0"/>
                      <w:sz w:val="21"/>
                      <w:szCs w:val="21"/>
                      <w:lang w:val="en-US" w:eastAsia="zh-CN" w:bidi="ar-SA"/>
                    </w:rPr>
                    <w:t>6</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7EF1C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中央分隔带排水施工</w:t>
                  </w:r>
                </w:p>
              </w:tc>
              <w:tc>
                <w:tcPr>
                  <w:tcW w:w="4025" w:type="dxa"/>
                  <w:tcBorders>
                    <w:top w:val="single" w:color="000000" w:sz="4" w:space="0"/>
                    <w:left w:val="single" w:color="000000" w:sz="4" w:space="0"/>
                    <w:bottom w:val="single" w:color="000000" w:sz="4" w:space="0"/>
                    <w:right w:val="single" w:color="000000" w:sz="4" w:space="0"/>
                  </w:tcBorders>
                  <w:noWrap/>
                  <w:vAlign w:val="center"/>
                </w:tcPr>
                <w:p w14:paraId="2E7736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任务包含人材机选择、工艺流程、语音文字解读等内容</w:t>
                  </w:r>
                </w:p>
              </w:tc>
            </w:tr>
          </w:tbl>
          <w:p w14:paraId="729A8404">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i w:val="0"/>
                <w:iCs w:val="0"/>
                <w:color w:val="auto"/>
                <w:sz w:val="21"/>
                <w:szCs w:val="21"/>
                <w:highlight w:val="none"/>
                <w:lang w:val="en-US" w:eastAsia="zh-CN"/>
              </w:rPr>
            </w:pPr>
          </w:p>
        </w:tc>
      </w:tr>
      <w:tr w14:paraId="3157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5" w:type="dxa"/>
            <w:noWrap w:val="0"/>
            <w:vAlign w:val="center"/>
          </w:tcPr>
          <w:p w14:paraId="2719AAC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4</w:t>
            </w:r>
          </w:p>
        </w:tc>
        <w:tc>
          <w:tcPr>
            <w:tcW w:w="1272" w:type="dxa"/>
            <w:noWrap w:val="0"/>
            <w:vAlign w:val="center"/>
          </w:tcPr>
          <w:p w14:paraId="6D2F94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sz w:val="21"/>
                <w:szCs w:val="21"/>
                <w:lang w:val="en-US" w:eastAsia="zh-CN"/>
              </w:rPr>
              <w:t>路桥</w:t>
            </w:r>
            <w:r>
              <w:rPr>
                <w:rFonts w:hint="eastAsia" w:ascii="宋体" w:hAnsi="宋体" w:eastAsia="宋体" w:cs="宋体"/>
                <w:b w:val="0"/>
                <w:bCs/>
                <w:sz w:val="21"/>
                <w:szCs w:val="21"/>
              </w:rPr>
              <w:t>施工组织管理案例实操管理模块</w:t>
            </w:r>
          </w:p>
        </w:tc>
        <w:tc>
          <w:tcPr>
            <w:tcW w:w="6915" w:type="dxa"/>
            <w:noWrap w:val="0"/>
            <w:vAlign w:val="top"/>
          </w:tcPr>
          <w:p w14:paraId="5454BD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1.满足</w:t>
            </w:r>
            <w:r>
              <w:rPr>
                <w:rFonts w:hint="eastAsia" w:ascii="宋体" w:hAnsi="宋体" w:eastAsia="宋体" w:cs="宋体"/>
                <w:spacing w:val="-3"/>
                <w:kern w:val="0"/>
                <w:sz w:val="21"/>
                <w:szCs w:val="21"/>
                <w:u w:val="none"/>
                <w:lang w:val="en-US" w:eastAsia="zh-CN" w:bidi="ar-SA"/>
              </w:rPr>
              <w:t>我校铁道工程技术专业群路桥类课程路桥施工与维护过程中的</w:t>
            </w:r>
            <w:r>
              <w:rPr>
                <w:rFonts w:hint="eastAsia" w:ascii="宋体" w:hAnsi="宋体" w:eastAsia="宋体" w:cs="宋体"/>
                <w:spacing w:val="-3"/>
                <w:kern w:val="0"/>
                <w:sz w:val="21"/>
                <w:szCs w:val="21"/>
                <w:lang w:val="en-AU" w:eastAsia="en-US" w:bidi="ar-SA"/>
              </w:rPr>
              <w:t>施工组织管理实训模拟要求；</w:t>
            </w:r>
          </w:p>
          <w:p w14:paraId="341FDEC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2.结合工程项目实践，根据给定的施工工艺案例信息，要求完成该项目的技术交底、质量验收、进度计划编制填写等施工组织管理技能应用案例模拟，平台自动进行评分，模拟完成之后查阅正确答案和配套技术解析。</w:t>
            </w:r>
          </w:p>
          <w:p w14:paraId="28FCE89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3.案例分析内容需满足包含道路工程、桥梁工程施工案例任务：桥面防水层施工、石灰土垫层施工、级配碎石基层施工、伸缩缝施工、水泥稳定土基层施工、桥面铺装施工、桩基施工、中央分隔带排水施工、支座垫石和挡块施工、系梁施工、水泥混凝土路面滑模施工、热拌沥青混合料面层施工、管涵施工、盖梁施工、盖板涵施工、承台施工；</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p w14:paraId="5D632BA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4.案例实训中每个案例都必须包含施工方案信息、工艺视频、质量验收视频等工程信息，且具备技术交底、进度计划编制、质量验收实训内容。</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2AAF06D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zh-CN" w:bidi="ar-SA"/>
              </w:rPr>
            </w:pPr>
            <w:r>
              <w:rPr>
                <w:rFonts w:hint="eastAsia" w:ascii="宋体" w:hAnsi="宋体" w:eastAsia="宋体" w:cs="宋体"/>
                <w:spacing w:val="-3"/>
                <w:kern w:val="0"/>
                <w:sz w:val="21"/>
                <w:szCs w:val="21"/>
                <w:lang w:val="en-AU" w:eastAsia="en-US" w:bidi="ar-SA"/>
              </w:rPr>
              <w:t>5.案例分析实训功能界面需</w:t>
            </w:r>
            <w:r>
              <w:rPr>
                <w:rFonts w:hint="eastAsia" w:ascii="宋体" w:hAnsi="宋体" w:eastAsia="宋体" w:cs="宋体"/>
                <w:spacing w:val="-3"/>
                <w:kern w:val="0"/>
                <w:sz w:val="21"/>
                <w:szCs w:val="21"/>
                <w:lang w:val="en-US" w:eastAsia="zh-CN" w:bidi="ar-SA"/>
              </w:rPr>
              <w:t>包含：</w:t>
            </w:r>
            <w:r>
              <w:rPr>
                <w:rFonts w:hint="eastAsia" w:ascii="宋体" w:hAnsi="宋体" w:eastAsia="宋体" w:cs="宋体"/>
                <w:spacing w:val="-3"/>
                <w:kern w:val="0"/>
                <w:sz w:val="21"/>
                <w:szCs w:val="21"/>
                <w:lang w:val="en-AU" w:eastAsia="en-US" w:bidi="ar-SA"/>
              </w:rPr>
              <w:t>任务名称、任务流程，任务目标，答题方法</w:t>
            </w:r>
            <w:r>
              <w:rPr>
                <w:rFonts w:hint="eastAsia" w:ascii="宋体" w:hAnsi="宋体" w:eastAsia="宋体" w:cs="宋体"/>
                <w:spacing w:val="-3"/>
                <w:kern w:val="0"/>
                <w:sz w:val="21"/>
                <w:szCs w:val="21"/>
                <w:lang w:val="en-AU" w:eastAsia="zh-CN" w:bidi="ar-SA"/>
              </w:rPr>
              <w:t>。</w:t>
            </w:r>
          </w:p>
          <w:p w14:paraId="1DAFFC3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AU" w:eastAsia="en-US" w:bidi="ar-SA"/>
              </w:rPr>
              <w:t xml:space="preserve"> 任务名称显示当前实训任务</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任务流程：第一步明确任务目标，工程概括→第二步查看工艺视频和参考规范→第三步进入技术交底、进度计划、质量验收完成学习→第四步完成任务→第五步回顾复习</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任务目标需显示任务级别、任务分数、任务内容</w:t>
            </w:r>
            <w:r>
              <w:rPr>
                <w:rFonts w:hint="eastAsia" w:ascii="宋体" w:hAnsi="宋体" w:eastAsia="宋体" w:cs="宋体"/>
                <w:spacing w:val="-3"/>
                <w:kern w:val="0"/>
                <w:sz w:val="21"/>
                <w:szCs w:val="21"/>
                <w:lang w:val="en-AU" w:eastAsia="zh-CN" w:bidi="ar-SA"/>
              </w:rPr>
              <w:t>；</w:t>
            </w:r>
            <w:r>
              <w:rPr>
                <w:rFonts w:hint="eastAsia" w:ascii="宋体" w:hAnsi="宋体" w:eastAsia="宋体" w:cs="宋体"/>
                <w:spacing w:val="-3"/>
                <w:kern w:val="0"/>
                <w:sz w:val="21"/>
                <w:szCs w:val="21"/>
                <w:lang w:val="en-AU" w:eastAsia="en-US" w:bidi="ar-SA"/>
              </w:rPr>
              <w:t>答题方法显示学生操作注意事项。</w:t>
            </w:r>
          </w:p>
          <w:p w14:paraId="7011134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AU" w:eastAsia="en-US" w:bidi="ar-SA"/>
              </w:rPr>
              <w:t>6.实训主界面需包含施工方案、技术交底、进度计划、质量验收、答题时间等内容。</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w:t>
            </w:r>
            <w:r>
              <w:rPr>
                <w:rFonts w:hint="eastAsia" w:ascii="宋体" w:hAnsi="宋体" w:eastAsia="宋体" w:cs="宋体"/>
                <w:b/>
                <w:bCs/>
                <w:spacing w:val="-3"/>
                <w:kern w:val="0"/>
                <w:sz w:val="21"/>
                <w:szCs w:val="21"/>
                <w:lang w:val="en-US" w:eastAsia="zh-CN" w:bidi="ar-SA"/>
              </w:rPr>
              <w:t>界面</w:t>
            </w:r>
            <w:r>
              <w:rPr>
                <w:rFonts w:hint="eastAsia" w:ascii="宋体" w:hAnsi="宋体" w:eastAsia="宋体" w:cs="宋体"/>
                <w:b/>
                <w:bCs/>
                <w:spacing w:val="-3"/>
                <w:kern w:val="0"/>
                <w:sz w:val="21"/>
                <w:szCs w:val="21"/>
                <w:lang w:val="en-US" w:eastAsia="zh-Hans" w:bidi="ar-SA"/>
              </w:rPr>
              <w:t>截图</w:t>
            </w:r>
            <w:r>
              <w:rPr>
                <w:rFonts w:hint="eastAsia" w:ascii="宋体" w:hAnsi="宋体" w:eastAsia="宋体" w:cs="宋体"/>
                <w:b/>
                <w:bCs/>
                <w:spacing w:val="-3"/>
                <w:kern w:val="0"/>
                <w:sz w:val="21"/>
                <w:szCs w:val="21"/>
                <w:lang w:eastAsia="en-US" w:bidi="ar-SA"/>
              </w:rPr>
              <w:t>）</w:t>
            </w:r>
          </w:p>
          <w:p w14:paraId="6F1BD5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7.</w:t>
            </w:r>
            <w:r>
              <w:rPr>
                <w:rFonts w:hint="eastAsia" w:ascii="宋体" w:hAnsi="宋体" w:eastAsia="宋体" w:cs="宋体"/>
                <w:spacing w:val="-3"/>
                <w:kern w:val="0"/>
                <w:sz w:val="21"/>
                <w:szCs w:val="21"/>
                <w:lang w:val="en-AU" w:eastAsia="en-US" w:bidi="ar-SA"/>
              </w:rPr>
              <w:t>施工方案包含工程基本信息、施工准备、施工工艺、质量标准、施工部署、成品保护等内容。</w:t>
            </w:r>
          </w:p>
          <w:p w14:paraId="5FE0DB38">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8.</w:t>
            </w:r>
            <w:r>
              <w:rPr>
                <w:rFonts w:hint="eastAsia" w:ascii="宋体" w:hAnsi="宋体" w:eastAsia="宋体" w:cs="宋体"/>
                <w:spacing w:val="-3"/>
                <w:kern w:val="0"/>
                <w:sz w:val="21"/>
                <w:szCs w:val="21"/>
                <w:lang w:val="en-AU" w:eastAsia="en-US" w:bidi="ar-SA"/>
              </w:rPr>
              <w:t>工程基本信息包含工程概况、工艺视频、规范参考。工艺视频须3D动画视频展示，视频可放大界面可自由拖动屏幕进行观看。规范可在平台内查阅。</w:t>
            </w:r>
          </w:p>
          <w:p w14:paraId="4C26DCF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9.</w:t>
            </w:r>
            <w:r>
              <w:rPr>
                <w:rFonts w:hint="eastAsia" w:ascii="宋体" w:hAnsi="宋体" w:eastAsia="宋体" w:cs="宋体"/>
                <w:spacing w:val="-3"/>
                <w:kern w:val="0"/>
                <w:sz w:val="21"/>
                <w:szCs w:val="21"/>
                <w:lang w:val="en-AU" w:eastAsia="en-US" w:bidi="ar-SA"/>
              </w:rPr>
              <w:t>技术交底实训需按照行业通用交底表格设置，技术交底表栏包含：工程名称、交底日期、交底项目、工程部位、交底提要等，相关信息平台自动生成，无须学生填写。</w:t>
            </w:r>
          </w:p>
          <w:p w14:paraId="669C1ED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10.</w:t>
            </w:r>
            <w:r>
              <w:rPr>
                <w:rFonts w:hint="eastAsia" w:ascii="宋体" w:hAnsi="宋体" w:eastAsia="宋体" w:cs="宋体"/>
                <w:spacing w:val="-3"/>
                <w:kern w:val="0"/>
                <w:sz w:val="21"/>
                <w:szCs w:val="21"/>
                <w:lang w:val="en-AU" w:eastAsia="en-US" w:bidi="ar-SA"/>
              </w:rPr>
              <w:t>施工准备包含材料准备、机具准备做题栏，系统配置材料库，机具库，学生可从库里选择进行填写。</w:t>
            </w:r>
          </w:p>
          <w:p w14:paraId="41360D4D">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11.</w:t>
            </w:r>
            <w:r>
              <w:rPr>
                <w:rFonts w:hint="eastAsia" w:ascii="宋体" w:hAnsi="宋体" w:eastAsia="宋体" w:cs="宋体"/>
                <w:spacing w:val="-3"/>
                <w:kern w:val="0"/>
                <w:sz w:val="21"/>
                <w:szCs w:val="21"/>
                <w:lang w:val="en-AU" w:eastAsia="en-US" w:bidi="ar-SA"/>
              </w:rPr>
              <w:t>作业条件：根据信息栏“作业条件”会出现作业条件选项栏，然后根据视频的学习，以及日常的专业学习，选出该工艺的作业条件</w:t>
            </w:r>
          </w:p>
          <w:p w14:paraId="1BDB186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12.</w:t>
            </w:r>
            <w:r>
              <w:rPr>
                <w:rFonts w:hint="eastAsia" w:ascii="宋体" w:hAnsi="宋体" w:eastAsia="宋体" w:cs="宋体"/>
                <w:spacing w:val="-3"/>
                <w:kern w:val="0"/>
                <w:sz w:val="21"/>
                <w:szCs w:val="21"/>
                <w:lang w:val="en-AU" w:eastAsia="en-US" w:bidi="ar-SA"/>
              </w:rPr>
              <w:t>工艺流程：根据信息栏“工艺流程”会出现工艺流程选项栏，然后根据视频的学习，按照工艺顺序对工艺流程进行选择</w:t>
            </w:r>
          </w:p>
          <w:p w14:paraId="7A01379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13.</w:t>
            </w:r>
            <w:r>
              <w:rPr>
                <w:rFonts w:hint="eastAsia" w:ascii="宋体" w:hAnsi="宋体" w:eastAsia="宋体" w:cs="宋体"/>
                <w:spacing w:val="-3"/>
                <w:kern w:val="0"/>
                <w:sz w:val="21"/>
                <w:szCs w:val="21"/>
                <w:lang w:val="en-AU" w:eastAsia="en-US" w:bidi="ar-SA"/>
              </w:rPr>
              <w:t>工艺详解：根据信息栏“工艺详解”会出现工艺详解选项栏，然后根据视频的学习，以及日常的专业学习按照工艺顺序对工艺详解进行选择（如果那一个详解顺序不对，是不得分的）</w:t>
            </w:r>
          </w:p>
          <w:p w14:paraId="53C5D8D7">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14.</w:t>
            </w:r>
            <w:r>
              <w:rPr>
                <w:rFonts w:hint="eastAsia" w:ascii="宋体" w:hAnsi="宋体" w:eastAsia="宋体" w:cs="宋体"/>
                <w:spacing w:val="-3"/>
                <w:kern w:val="0"/>
                <w:sz w:val="21"/>
                <w:szCs w:val="21"/>
                <w:lang w:val="en-AU" w:eastAsia="en-US" w:bidi="ar-SA"/>
              </w:rPr>
              <w:t>主控项目：根据信息栏“主控项目”会出现主控项目选项栏，然后根据视频的学习和打开编制依据中的规范进行学习，以及日常的专业学习。选出该工艺的作业条件</w:t>
            </w:r>
          </w:p>
          <w:p w14:paraId="1FC80F3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15.</w:t>
            </w:r>
            <w:r>
              <w:rPr>
                <w:rFonts w:hint="eastAsia" w:ascii="宋体" w:hAnsi="宋体" w:eastAsia="宋体" w:cs="宋体"/>
                <w:spacing w:val="-3"/>
                <w:kern w:val="0"/>
                <w:sz w:val="21"/>
                <w:szCs w:val="21"/>
                <w:lang w:val="en-AU" w:eastAsia="en-US" w:bidi="ar-SA"/>
              </w:rPr>
              <w:t>一般项目：根据信息栏“一般项目”会出现一般项目选项栏，然后根据视频的学习和打开编制依据中的规范进行学习，以及日常的专业学习。选出该工艺的作业条件。</w:t>
            </w:r>
          </w:p>
          <w:p w14:paraId="4B938DE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16.</w:t>
            </w:r>
            <w:r>
              <w:rPr>
                <w:rFonts w:hint="eastAsia" w:ascii="宋体" w:hAnsi="宋体" w:eastAsia="宋体" w:cs="宋体"/>
                <w:spacing w:val="-3"/>
                <w:kern w:val="0"/>
                <w:sz w:val="21"/>
                <w:szCs w:val="21"/>
                <w:lang w:val="en-AU" w:eastAsia="en-US" w:bidi="ar-SA"/>
              </w:rPr>
              <w:t>成品保护：根据信息栏“成品保护”会出现成品保护选项栏，然后根据视频的学习，以及日常的专业学习，选出该工艺的成品保护</w:t>
            </w:r>
          </w:p>
          <w:p w14:paraId="27DB333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AU" w:eastAsia="en-US" w:bidi="ar-SA"/>
              </w:rPr>
            </w:pPr>
            <w:r>
              <w:rPr>
                <w:rFonts w:hint="eastAsia" w:ascii="宋体" w:hAnsi="宋体" w:eastAsia="宋体" w:cs="宋体"/>
                <w:spacing w:val="-3"/>
                <w:kern w:val="0"/>
                <w:sz w:val="21"/>
                <w:szCs w:val="21"/>
                <w:lang w:val="en-US" w:eastAsia="zh-CN" w:bidi="ar-SA"/>
              </w:rPr>
              <w:t>1</w:t>
            </w:r>
            <w:r>
              <w:rPr>
                <w:rFonts w:hint="eastAsia" w:ascii="宋体" w:hAnsi="宋体" w:eastAsia="宋体" w:cs="宋体"/>
                <w:spacing w:val="-3"/>
                <w:kern w:val="0"/>
                <w:sz w:val="21"/>
                <w:szCs w:val="21"/>
                <w:lang w:val="en-AU" w:eastAsia="en-US" w:bidi="ar-SA"/>
              </w:rPr>
              <w:t>7.进度计划：点击“下一步进度计划”进入进度计划绘制界面，然后根据左侧施工部署的描述计算出各工序的施工天数，然后将各工序的施工天数绘制到给定的施工进度</w:t>
            </w:r>
            <w:r>
              <w:rPr>
                <w:rFonts w:hint="eastAsia" w:ascii="宋体" w:hAnsi="宋体" w:eastAsia="宋体" w:cs="宋体"/>
                <w:spacing w:val="-3"/>
                <w:kern w:val="0"/>
                <w:sz w:val="21"/>
                <w:szCs w:val="21"/>
                <w:lang w:val="en-AU" w:eastAsia="zh-CN" w:bidi="ar-SA"/>
              </w:rPr>
              <w:t>计划</w:t>
            </w:r>
            <w:r>
              <w:rPr>
                <w:rFonts w:hint="eastAsia" w:ascii="宋体" w:hAnsi="宋体" w:eastAsia="宋体" w:cs="宋体"/>
                <w:spacing w:val="-3"/>
                <w:kern w:val="0"/>
                <w:sz w:val="21"/>
                <w:szCs w:val="21"/>
                <w:lang w:val="en-AU" w:eastAsia="en-US" w:bidi="ar-SA"/>
              </w:rPr>
              <w:t>表上。</w:t>
            </w:r>
          </w:p>
          <w:p w14:paraId="3006A71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pacing w:val="-3"/>
                <w:kern w:val="0"/>
                <w:sz w:val="21"/>
                <w:szCs w:val="21"/>
                <w:lang w:val="en-US" w:eastAsia="zh-CN" w:bidi="ar-SA"/>
              </w:rPr>
            </w:pP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b/>
                <w:bCs/>
                <w:spacing w:val="-3"/>
                <w:kern w:val="0"/>
                <w:sz w:val="21"/>
                <w:szCs w:val="21"/>
                <w:lang w:val="en-US" w:eastAsia="zh-CN" w:bidi="ar-SA"/>
              </w:rPr>
              <w:t>1</w:t>
            </w:r>
            <w:r>
              <w:rPr>
                <w:rFonts w:hint="eastAsia" w:ascii="宋体" w:hAnsi="宋体" w:eastAsia="宋体" w:cs="宋体"/>
                <w:b/>
                <w:bCs/>
                <w:spacing w:val="-3"/>
                <w:kern w:val="0"/>
                <w:sz w:val="21"/>
                <w:szCs w:val="21"/>
                <w:lang w:val="en-AU" w:eastAsia="en-US" w:bidi="ar-SA"/>
              </w:rPr>
              <w:t>8.质量验收：点击“下一步质量验收”进入质量验收答题界面，然后根据质量验收视频和验收表格确定验收表格各项是否合格。再根据验收表格中各题的题号对应的答题区域进行作答。</w:t>
            </w:r>
            <w:r>
              <w:rPr>
                <w:rFonts w:hint="eastAsia" w:ascii="宋体" w:hAnsi="宋体" w:eastAsia="宋体" w:cs="宋体"/>
                <w:b/>
                <w:bCs/>
                <w:spacing w:val="-3"/>
                <w:kern w:val="0"/>
                <w:sz w:val="21"/>
                <w:szCs w:val="21"/>
                <w:lang w:eastAsia="en-US" w:bidi="ar-SA"/>
              </w:rPr>
              <w:t>（</w:t>
            </w:r>
            <w:r>
              <w:rPr>
                <w:rFonts w:hint="eastAsia" w:ascii="宋体" w:hAnsi="宋体" w:eastAsia="宋体" w:cs="宋体"/>
                <w:b/>
                <w:bCs/>
                <w:spacing w:val="-3"/>
                <w:kern w:val="0"/>
                <w:sz w:val="21"/>
                <w:szCs w:val="21"/>
                <w:lang w:val="en-US" w:eastAsia="zh-Hans" w:bidi="ar-SA"/>
              </w:rPr>
              <w:t>投标文件中提供对应功能的软件截图</w:t>
            </w:r>
            <w:r>
              <w:rPr>
                <w:rFonts w:hint="eastAsia" w:ascii="宋体" w:hAnsi="宋体" w:eastAsia="宋体" w:cs="宋体"/>
                <w:b/>
                <w:bCs/>
                <w:spacing w:val="-3"/>
                <w:kern w:val="0"/>
                <w:sz w:val="21"/>
                <w:szCs w:val="21"/>
                <w:lang w:eastAsia="en-US" w:bidi="ar-SA"/>
              </w:rPr>
              <w:t>）</w:t>
            </w:r>
          </w:p>
        </w:tc>
      </w:tr>
    </w:tbl>
    <w:p w14:paraId="1E017245">
      <w:pPr>
        <w:bidi w:val="0"/>
        <w:spacing w:line="240" w:lineRule="auto"/>
        <w:rPr>
          <w:rFonts w:hint="eastAsia" w:ascii="宋体" w:hAnsi="宋体" w:eastAsia="宋体" w:cs="宋体"/>
          <w:color w:val="auto"/>
          <w:highlight w:val="none"/>
        </w:rPr>
      </w:pPr>
    </w:p>
    <w:p w14:paraId="0D845678">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3"/>
          <w:szCs w:val="23"/>
          <w:highlight w:val="none"/>
        </w:rPr>
      </w:pPr>
      <w:bookmarkStart w:id="168" w:name="_Toc602"/>
      <w:bookmarkStart w:id="169" w:name="_Toc30142"/>
      <w:r>
        <w:rPr>
          <w:rFonts w:hint="eastAsia" w:ascii="宋体" w:hAnsi="宋体" w:eastAsia="宋体" w:cs="宋体"/>
          <w:b/>
          <w:bCs/>
          <w:color w:val="auto"/>
          <w:kern w:val="44"/>
          <w:sz w:val="23"/>
          <w:szCs w:val="23"/>
          <w:highlight w:val="none"/>
        </w:rPr>
        <w:t>★商务要求</w:t>
      </w:r>
      <w:bookmarkEnd w:id="168"/>
      <w:bookmarkEnd w:id="169"/>
      <w:r>
        <w:rPr>
          <w:rFonts w:hint="eastAsia" w:ascii="宋体" w:hAnsi="宋体" w:eastAsia="宋体" w:cs="宋体"/>
          <w:b/>
          <w:bCs/>
          <w:color w:val="auto"/>
          <w:kern w:val="44"/>
          <w:sz w:val="23"/>
          <w:szCs w:val="23"/>
          <w:highlight w:val="none"/>
        </w:rPr>
        <w:t xml:space="preserve"> </w:t>
      </w:r>
    </w:p>
    <w:p w14:paraId="65E17324">
      <w:pPr>
        <w:bidi w:val="0"/>
        <w:spacing w:line="240" w:lineRule="auto"/>
        <w:rPr>
          <w:rFonts w:hint="eastAsia" w:ascii="宋体" w:hAnsi="宋体" w:eastAsia="宋体" w:cs="宋体"/>
          <w:color w:val="auto"/>
          <w:highlight w:val="none"/>
        </w:rPr>
      </w:pPr>
    </w:p>
    <w:tbl>
      <w:tblPr>
        <w:tblStyle w:val="19"/>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6384"/>
      </w:tblGrid>
      <w:tr w14:paraId="59DB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14" w:type="dxa"/>
            <w:noWrap w:val="0"/>
            <w:vAlign w:val="center"/>
          </w:tcPr>
          <w:p w14:paraId="36B56ED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履行时间（期限）</w:t>
            </w:r>
          </w:p>
        </w:tc>
        <w:tc>
          <w:tcPr>
            <w:tcW w:w="6384" w:type="dxa"/>
            <w:noWrap w:val="0"/>
            <w:vAlign w:val="center"/>
          </w:tcPr>
          <w:p w14:paraId="2D6D689D">
            <w:pPr>
              <w:pageBreakBefore w:val="0"/>
              <w:widowControl w:val="0"/>
              <w:numPr>
                <w:ilvl w:val="0"/>
                <w:numId w:val="0"/>
              </w:numPr>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val="en-US" w:eastAsia="zh-Hans"/>
              </w:rPr>
              <w:t>个日历</w:t>
            </w:r>
            <w:r>
              <w:rPr>
                <w:rFonts w:hint="eastAsia" w:ascii="宋体" w:hAnsi="宋体" w:eastAsia="宋体" w:cs="宋体"/>
                <w:sz w:val="24"/>
                <w:szCs w:val="24"/>
                <w:lang w:val="en-US" w:eastAsia="zh-CN"/>
              </w:rPr>
              <w:t>天内现场交付</w:t>
            </w:r>
          </w:p>
        </w:tc>
      </w:tr>
      <w:tr w14:paraId="6625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14" w:type="dxa"/>
            <w:noWrap w:val="0"/>
            <w:vAlign w:val="center"/>
          </w:tcPr>
          <w:p w14:paraId="4341FC9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履行地点（范围）</w:t>
            </w:r>
          </w:p>
        </w:tc>
        <w:tc>
          <w:tcPr>
            <w:tcW w:w="6384" w:type="dxa"/>
            <w:noWrap w:val="0"/>
            <w:vAlign w:val="center"/>
          </w:tcPr>
          <w:p w14:paraId="77EF920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成都市技师学院郫都西校区</w:t>
            </w:r>
          </w:p>
        </w:tc>
      </w:tr>
      <w:tr w14:paraId="46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21F96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付款进度安排、资金支付方式</w:t>
            </w:r>
          </w:p>
        </w:tc>
        <w:tc>
          <w:tcPr>
            <w:tcW w:w="6384" w:type="dxa"/>
            <w:noWrap w:val="0"/>
            <w:vAlign w:val="center"/>
          </w:tcPr>
          <w:p w14:paraId="2069C00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1.中标价为固定包干价，包括但不限于</w:t>
            </w:r>
            <w:r>
              <w:rPr>
                <w:rFonts w:hint="eastAsia" w:ascii="宋体" w:hAnsi="宋体" w:eastAsia="宋体" w:cs="宋体"/>
                <w:sz w:val="24"/>
                <w:lang w:val="en-US" w:eastAsia="zh-CN"/>
              </w:rPr>
              <w:t>软件系统</w:t>
            </w:r>
            <w:r>
              <w:rPr>
                <w:rFonts w:hint="eastAsia" w:ascii="宋体" w:hAnsi="宋体" w:eastAsia="宋体" w:cs="宋体"/>
                <w:sz w:val="24"/>
              </w:rPr>
              <w:t>的供货、包装、运输</w:t>
            </w:r>
            <w:r>
              <w:rPr>
                <w:rFonts w:hint="eastAsia" w:ascii="宋体" w:hAnsi="宋体" w:eastAsia="宋体" w:cs="宋体"/>
                <w:sz w:val="24"/>
                <w:lang w:val="en-US" w:eastAsia="zh-CN"/>
              </w:rPr>
              <w:t>、</w:t>
            </w:r>
            <w:r>
              <w:rPr>
                <w:rFonts w:hint="eastAsia" w:ascii="宋体" w:hAnsi="宋体" w:eastAsia="宋体" w:cs="宋体"/>
                <w:sz w:val="24"/>
              </w:rPr>
              <w:t>税费等与完成本项目有关的所有费用。本项目执行期间合同总价不变，招标人无须另向</w:t>
            </w:r>
            <w:r>
              <w:rPr>
                <w:rFonts w:hint="eastAsia" w:ascii="宋体" w:hAnsi="宋体" w:eastAsia="宋体" w:cs="宋体"/>
                <w:sz w:val="24"/>
                <w:lang w:val="en-US" w:eastAsia="zh-CN"/>
              </w:rPr>
              <w:t>中</w:t>
            </w:r>
            <w:r>
              <w:rPr>
                <w:rFonts w:hint="eastAsia" w:ascii="宋体" w:hAnsi="宋体" w:eastAsia="宋体" w:cs="宋体"/>
                <w:sz w:val="24"/>
              </w:rPr>
              <w:t>标人支付本合同规定之外的其他任何费用。</w:t>
            </w:r>
          </w:p>
          <w:p w14:paraId="1B8137F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中标人</w:t>
            </w:r>
            <w:r>
              <w:rPr>
                <w:rFonts w:hint="eastAsia" w:ascii="宋体" w:hAnsi="宋体" w:eastAsia="宋体" w:cs="宋体"/>
                <w:sz w:val="24"/>
              </w:rPr>
              <w:t>完成本项目全部工作，且</w:t>
            </w:r>
            <w:r>
              <w:rPr>
                <w:rFonts w:hint="eastAsia" w:ascii="宋体" w:hAnsi="宋体" w:eastAsia="宋体" w:cs="宋体"/>
                <w:sz w:val="24"/>
                <w:lang w:val="en-US" w:eastAsia="zh-CN"/>
              </w:rPr>
              <w:t>设备</w:t>
            </w:r>
            <w:r>
              <w:rPr>
                <w:rFonts w:hint="eastAsia" w:ascii="宋体" w:hAnsi="宋体" w:eastAsia="宋体" w:cs="宋体"/>
                <w:sz w:val="24"/>
              </w:rPr>
              <w:t>经招标人验收合格，自招标人收到</w:t>
            </w:r>
            <w:r>
              <w:rPr>
                <w:rFonts w:hint="eastAsia" w:ascii="宋体" w:hAnsi="宋体" w:eastAsia="宋体" w:cs="宋体"/>
                <w:sz w:val="24"/>
                <w:lang w:val="en-US" w:eastAsia="zh-CN"/>
              </w:rPr>
              <w:t>中标人</w:t>
            </w:r>
            <w:r>
              <w:rPr>
                <w:rFonts w:hint="eastAsia" w:ascii="宋体" w:hAnsi="宋体" w:eastAsia="宋体" w:cs="宋体"/>
                <w:sz w:val="24"/>
              </w:rPr>
              <w:t>出具的合法有效完整的等额完税发票之日起15个日历天内支付合同总金额的百分之百的服务款；若收到</w:t>
            </w:r>
            <w:r>
              <w:rPr>
                <w:rFonts w:hint="eastAsia" w:ascii="宋体" w:hAnsi="宋体" w:eastAsia="宋体" w:cs="宋体"/>
                <w:sz w:val="24"/>
                <w:lang w:val="en-US" w:eastAsia="zh-CN"/>
              </w:rPr>
              <w:t>中</w:t>
            </w:r>
            <w:r>
              <w:rPr>
                <w:rFonts w:hint="eastAsia" w:ascii="宋体" w:hAnsi="宋体" w:eastAsia="宋体" w:cs="宋体"/>
                <w:sz w:val="24"/>
              </w:rPr>
              <w:t>标人发票之日早于验收合格之日，则自验收合格之日起15个日历天内支付。</w:t>
            </w:r>
          </w:p>
          <w:p w14:paraId="0BD0784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w:t>
            </w:r>
            <w:r>
              <w:rPr>
                <w:rFonts w:hint="eastAsia" w:ascii="宋体" w:hAnsi="宋体" w:eastAsia="宋体" w:cs="宋体"/>
                <w:color w:val="auto"/>
                <w:sz w:val="24"/>
                <w:szCs w:val="24"/>
                <w:highlight w:val="none"/>
                <w:lang w:val="en-US" w:eastAsia="zh-CN"/>
              </w:rPr>
              <w:t>拒绝</w:t>
            </w:r>
            <w:r>
              <w:rPr>
                <w:rFonts w:hint="eastAsia" w:ascii="宋体" w:hAnsi="宋体" w:eastAsia="宋体" w:cs="宋体"/>
                <w:color w:val="auto"/>
                <w:sz w:val="24"/>
                <w:szCs w:val="24"/>
                <w:highlight w:val="none"/>
              </w:rPr>
              <w:t>提供增值税发票（普票）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提供虚假</w:t>
            </w:r>
            <w:r>
              <w:rPr>
                <w:rFonts w:hint="eastAsia" w:ascii="宋体" w:hAnsi="宋体" w:eastAsia="宋体" w:cs="宋体"/>
                <w:color w:val="auto"/>
                <w:sz w:val="24"/>
                <w:szCs w:val="24"/>
                <w:highlight w:val="none"/>
              </w:rPr>
              <w:t>增值税发票（普票），或者</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提供的发票不满足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财务要求的</w:t>
            </w:r>
            <w:r>
              <w:rPr>
                <w:rFonts w:hint="eastAsia" w:ascii="宋体" w:hAnsi="宋体" w:eastAsia="宋体" w:cs="宋体"/>
                <w:color w:val="auto"/>
                <w:sz w:val="24"/>
              </w:rPr>
              <w:t>，招标人有权拒付且不承担任何逾期付款的责任。</w:t>
            </w:r>
          </w:p>
          <w:p w14:paraId="32552BD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中标人</w:t>
            </w:r>
            <w:r>
              <w:rPr>
                <w:rFonts w:hint="eastAsia" w:ascii="宋体" w:hAnsi="宋体" w:eastAsia="宋体" w:cs="宋体"/>
                <w:color w:val="auto"/>
                <w:sz w:val="24"/>
              </w:rPr>
              <w:t>保证提供的银行账户信息真实有效，如果</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标人账户信息更改（原则上招标人不同意账户信息更改），需要在招标人付款前7个日历天内</w:t>
            </w:r>
            <w:r>
              <w:rPr>
                <w:rFonts w:hint="eastAsia" w:ascii="宋体" w:hAnsi="宋体" w:eastAsia="宋体" w:cs="宋体"/>
                <w:color w:val="auto"/>
                <w:sz w:val="24"/>
                <w:lang w:val="en-US" w:eastAsia="zh-CN"/>
              </w:rPr>
              <w:t>以书面形式</w:t>
            </w:r>
            <w:r>
              <w:rPr>
                <w:rFonts w:hint="eastAsia" w:ascii="宋体" w:hAnsi="宋体" w:eastAsia="宋体" w:cs="宋体"/>
                <w:color w:val="auto"/>
                <w:sz w:val="24"/>
              </w:rPr>
              <w:t>告知招标人，若因</w:t>
            </w:r>
            <w:r>
              <w:rPr>
                <w:rFonts w:hint="eastAsia" w:ascii="宋体" w:hAnsi="宋体" w:eastAsia="宋体" w:cs="宋体"/>
                <w:color w:val="auto"/>
                <w:sz w:val="24"/>
                <w:lang w:val="en-US" w:eastAsia="zh-CN"/>
              </w:rPr>
              <w:t>中</w:t>
            </w:r>
            <w:r>
              <w:rPr>
                <w:rFonts w:hint="eastAsia" w:ascii="宋体" w:hAnsi="宋体" w:eastAsia="宋体" w:cs="宋体"/>
                <w:color w:val="auto"/>
                <w:sz w:val="24"/>
              </w:rPr>
              <w:t>标人原因导致招标人无法付款或错误付款</w:t>
            </w:r>
            <w:r>
              <w:rPr>
                <w:rFonts w:hint="eastAsia" w:ascii="宋体" w:hAnsi="宋体" w:eastAsia="宋体" w:cs="宋体"/>
                <w:sz w:val="24"/>
              </w:rPr>
              <w:t>，后果由</w:t>
            </w:r>
            <w:r>
              <w:rPr>
                <w:rFonts w:hint="eastAsia" w:ascii="宋体" w:hAnsi="宋体" w:eastAsia="宋体" w:cs="宋体"/>
                <w:sz w:val="24"/>
                <w:lang w:val="en-US" w:eastAsia="zh-CN"/>
              </w:rPr>
              <w:t>中</w:t>
            </w:r>
            <w:r>
              <w:rPr>
                <w:rFonts w:hint="eastAsia" w:ascii="宋体" w:hAnsi="宋体" w:eastAsia="宋体" w:cs="宋体"/>
                <w:sz w:val="24"/>
              </w:rPr>
              <w:t>标人自行承担。</w:t>
            </w:r>
            <w:r>
              <w:rPr>
                <w:rFonts w:hint="eastAsia" w:ascii="宋体" w:hAnsi="宋体" w:eastAsia="宋体" w:cs="宋体"/>
                <w:sz w:val="24"/>
                <w:lang w:val="en-US" w:eastAsia="zh-CN"/>
              </w:rPr>
              <w:t>中</w:t>
            </w:r>
            <w:r>
              <w:rPr>
                <w:rFonts w:hint="eastAsia" w:ascii="宋体" w:hAnsi="宋体" w:eastAsia="宋体" w:cs="宋体"/>
                <w:sz w:val="24"/>
              </w:rPr>
              <w:t>标人指定收款账户如下：</w:t>
            </w:r>
          </w:p>
          <w:p w14:paraId="626EC71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账户名称：</w:t>
            </w:r>
          </w:p>
          <w:p w14:paraId="32AE50F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银行账号：</w:t>
            </w:r>
          </w:p>
          <w:p w14:paraId="567AE71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开户银行：</w:t>
            </w:r>
          </w:p>
          <w:p w14:paraId="7488E9A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rPr>
            </w:pPr>
            <w:r>
              <w:rPr>
                <w:rFonts w:hint="eastAsia" w:ascii="宋体" w:hAnsi="宋体" w:eastAsia="宋体" w:cs="宋体"/>
                <w:sz w:val="24"/>
              </w:rPr>
              <w:t>5.支付方式为一次性对公银行转账。</w:t>
            </w:r>
          </w:p>
        </w:tc>
      </w:tr>
      <w:tr w14:paraId="16F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03B0EF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Cs/>
                <w:color w:val="auto"/>
                <w:sz w:val="24"/>
                <w:szCs w:val="24"/>
                <w:highlight w:val="none"/>
              </w:rPr>
              <w:t>验收标准</w:t>
            </w:r>
          </w:p>
        </w:tc>
        <w:tc>
          <w:tcPr>
            <w:tcW w:w="6384" w:type="dxa"/>
            <w:noWrap w:val="0"/>
            <w:vAlign w:val="center"/>
          </w:tcPr>
          <w:p w14:paraId="6B5C1F3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（1）验收组织方式</w:t>
            </w:r>
            <w:r>
              <w:rPr>
                <w:rFonts w:hint="eastAsia" w:ascii="宋体" w:hAnsi="宋体" w:eastAsia="宋体" w:cs="宋体"/>
                <w:color w:val="auto"/>
                <w:sz w:val="24"/>
              </w:rPr>
              <w:t>:</w:t>
            </w:r>
            <w:r>
              <w:rPr>
                <w:rFonts w:hint="eastAsia" w:ascii="宋体" w:hAnsi="宋体" w:eastAsia="宋体" w:cs="宋体"/>
                <w:color w:val="auto"/>
                <w:sz w:val="24"/>
                <w:szCs w:val="24"/>
                <w:highlight w:val="none"/>
              </w:rPr>
              <w:t>单位内部验收</w:t>
            </w:r>
          </w:p>
          <w:p w14:paraId="494A3FF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 xml:space="preserve">（2）履约验收程序: </w:t>
            </w:r>
            <w:r>
              <w:rPr>
                <w:rFonts w:hint="eastAsia" w:ascii="宋体" w:hAnsi="宋体" w:eastAsia="宋体" w:cs="宋体"/>
                <w:sz w:val="24"/>
                <w:lang w:val="en-US" w:eastAsia="zh-CN"/>
              </w:rPr>
              <w:t>中标人交付完成软件系统可正常使用后</w:t>
            </w:r>
            <w:r>
              <w:rPr>
                <w:rFonts w:hint="eastAsia" w:ascii="宋体" w:hAnsi="宋体" w:eastAsia="宋体" w:cs="宋体"/>
                <w:sz w:val="24"/>
              </w:rPr>
              <w:t>，书面通知</w:t>
            </w:r>
            <w:r>
              <w:rPr>
                <w:rFonts w:hint="eastAsia" w:ascii="宋体" w:hAnsi="宋体" w:eastAsia="宋体" w:cs="宋体"/>
                <w:sz w:val="24"/>
                <w:lang w:eastAsia="zh-CN"/>
              </w:rPr>
              <w:t>招标人</w:t>
            </w:r>
            <w:r>
              <w:rPr>
                <w:rFonts w:hint="eastAsia" w:ascii="宋体" w:hAnsi="宋体" w:eastAsia="宋体" w:cs="宋体"/>
                <w:sz w:val="24"/>
              </w:rPr>
              <w:t>进行验收，</w:t>
            </w:r>
            <w:r>
              <w:rPr>
                <w:rFonts w:hint="eastAsia" w:ascii="宋体" w:hAnsi="宋体" w:eastAsia="宋体" w:cs="宋体"/>
                <w:sz w:val="24"/>
                <w:lang w:eastAsia="zh-CN"/>
              </w:rPr>
              <w:t>招标人</w:t>
            </w:r>
            <w:r>
              <w:rPr>
                <w:rFonts w:hint="eastAsia" w:ascii="宋体" w:hAnsi="宋体" w:eastAsia="宋体" w:cs="宋体"/>
                <w:sz w:val="24"/>
              </w:rPr>
              <w:t>自收到</w:t>
            </w:r>
            <w:r>
              <w:rPr>
                <w:rFonts w:hint="eastAsia" w:ascii="宋体" w:hAnsi="宋体" w:eastAsia="宋体" w:cs="宋体"/>
                <w:sz w:val="24"/>
                <w:lang w:val="en-US" w:eastAsia="zh-CN"/>
              </w:rPr>
              <w:t>中标人</w:t>
            </w:r>
            <w:r>
              <w:rPr>
                <w:rFonts w:hint="eastAsia" w:ascii="宋体" w:hAnsi="宋体" w:eastAsia="宋体" w:cs="宋体"/>
                <w:sz w:val="24"/>
              </w:rPr>
              <w:t>验收申请之日起10个日历天内组织3人及以上单数的验收小组进行现场验收；验收合格，则签署《验收报告单》；若验收不合格，</w:t>
            </w:r>
            <w:r>
              <w:rPr>
                <w:rFonts w:hint="eastAsia" w:ascii="宋体" w:hAnsi="宋体" w:eastAsia="宋体" w:cs="宋体"/>
                <w:sz w:val="24"/>
                <w:lang w:val="en-US" w:eastAsia="zh-CN"/>
              </w:rPr>
              <w:t>中标人</w:t>
            </w:r>
            <w:r>
              <w:rPr>
                <w:rFonts w:hint="eastAsia" w:ascii="宋体" w:hAnsi="宋体" w:eastAsia="宋体" w:cs="宋体"/>
                <w:sz w:val="24"/>
              </w:rPr>
              <w:t>应在接到</w:t>
            </w:r>
            <w:r>
              <w:rPr>
                <w:rFonts w:hint="eastAsia" w:ascii="宋体" w:hAnsi="宋体" w:eastAsia="宋体" w:cs="宋体"/>
                <w:sz w:val="24"/>
                <w:lang w:eastAsia="zh-CN"/>
              </w:rPr>
              <w:t>招标人</w:t>
            </w:r>
            <w:r>
              <w:rPr>
                <w:rFonts w:hint="eastAsia" w:ascii="宋体" w:hAnsi="宋体" w:eastAsia="宋体" w:cs="宋体"/>
                <w:sz w:val="24"/>
              </w:rPr>
              <w:t>整改通知之日起10个日历天内完成整改，再由</w:t>
            </w:r>
            <w:r>
              <w:rPr>
                <w:rFonts w:hint="eastAsia" w:ascii="宋体" w:hAnsi="宋体" w:eastAsia="宋体" w:cs="宋体"/>
                <w:sz w:val="24"/>
                <w:lang w:eastAsia="zh-CN"/>
              </w:rPr>
              <w:t>招标人</w:t>
            </w:r>
            <w:r>
              <w:rPr>
                <w:rFonts w:hint="eastAsia" w:ascii="宋体" w:hAnsi="宋体" w:eastAsia="宋体" w:cs="宋体"/>
                <w:sz w:val="24"/>
              </w:rPr>
              <w:t>组织重新验收，若再次验收不合格视为</w:t>
            </w:r>
            <w:r>
              <w:rPr>
                <w:rFonts w:hint="eastAsia" w:ascii="宋体" w:hAnsi="宋体" w:eastAsia="宋体" w:cs="宋体"/>
                <w:sz w:val="24"/>
                <w:lang w:eastAsia="zh-CN"/>
              </w:rPr>
              <w:t>投标人</w:t>
            </w:r>
            <w:r>
              <w:rPr>
                <w:rFonts w:hint="eastAsia" w:ascii="宋体" w:hAnsi="宋体" w:eastAsia="宋体" w:cs="宋体"/>
                <w:sz w:val="24"/>
              </w:rPr>
              <w:t>不能履约，</w:t>
            </w:r>
            <w:r>
              <w:rPr>
                <w:rFonts w:hint="eastAsia" w:ascii="宋体" w:hAnsi="宋体" w:eastAsia="宋体" w:cs="宋体"/>
                <w:sz w:val="24"/>
                <w:lang w:eastAsia="zh-CN"/>
              </w:rPr>
              <w:t>招标人</w:t>
            </w:r>
            <w:r>
              <w:rPr>
                <w:rFonts w:hint="eastAsia" w:ascii="宋体" w:hAnsi="宋体" w:eastAsia="宋体" w:cs="宋体"/>
                <w:sz w:val="24"/>
              </w:rPr>
              <w:t>有权终止合同，并按合同约定追究</w:t>
            </w:r>
            <w:r>
              <w:rPr>
                <w:rFonts w:hint="eastAsia" w:ascii="宋体" w:hAnsi="宋体" w:eastAsia="宋体" w:cs="宋体"/>
                <w:sz w:val="24"/>
                <w:lang w:val="en-US" w:eastAsia="zh-CN"/>
              </w:rPr>
              <w:t>中标人</w:t>
            </w:r>
            <w:r>
              <w:rPr>
                <w:rFonts w:hint="eastAsia" w:ascii="宋体" w:hAnsi="宋体" w:eastAsia="宋体" w:cs="宋体"/>
                <w:sz w:val="24"/>
              </w:rPr>
              <w:t xml:space="preserve">未按合同约定交付资源及服务的违约责任。 </w:t>
            </w:r>
          </w:p>
          <w:p w14:paraId="7EEBD81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 xml:space="preserve">（3）履约验收时间: </w:t>
            </w:r>
            <w:r>
              <w:rPr>
                <w:rFonts w:hint="eastAsia" w:ascii="宋体" w:hAnsi="宋体" w:eastAsia="宋体" w:cs="宋体"/>
                <w:sz w:val="24"/>
                <w:lang w:val="en-US" w:eastAsia="zh-CN"/>
              </w:rPr>
              <w:t>中标人</w:t>
            </w:r>
            <w:r>
              <w:rPr>
                <w:rFonts w:hint="eastAsia" w:ascii="宋体" w:hAnsi="宋体" w:eastAsia="宋体" w:cs="宋体"/>
                <w:sz w:val="24"/>
              </w:rPr>
              <w:t>完成项目所有服务内容后，书面通知</w:t>
            </w:r>
            <w:r>
              <w:rPr>
                <w:rFonts w:hint="eastAsia" w:ascii="宋体" w:hAnsi="宋体" w:eastAsia="宋体" w:cs="宋体"/>
                <w:sz w:val="24"/>
                <w:lang w:eastAsia="zh-CN"/>
              </w:rPr>
              <w:t>招标人</w:t>
            </w:r>
            <w:r>
              <w:rPr>
                <w:rFonts w:hint="eastAsia" w:ascii="宋体" w:hAnsi="宋体" w:eastAsia="宋体" w:cs="宋体"/>
                <w:sz w:val="24"/>
              </w:rPr>
              <w:t>进行验收，</w:t>
            </w:r>
            <w:r>
              <w:rPr>
                <w:rFonts w:hint="eastAsia" w:ascii="宋体" w:hAnsi="宋体" w:eastAsia="宋体" w:cs="宋体"/>
                <w:sz w:val="24"/>
                <w:lang w:eastAsia="zh-CN"/>
              </w:rPr>
              <w:t>招标人</w:t>
            </w:r>
            <w:r>
              <w:rPr>
                <w:rFonts w:hint="eastAsia" w:ascii="宋体" w:hAnsi="宋体" w:eastAsia="宋体" w:cs="宋体"/>
                <w:sz w:val="24"/>
              </w:rPr>
              <w:t>自收到</w:t>
            </w:r>
            <w:r>
              <w:rPr>
                <w:rFonts w:hint="eastAsia" w:ascii="宋体" w:hAnsi="宋体" w:eastAsia="宋体" w:cs="宋体"/>
                <w:sz w:val="24"/>
                <w:lang w:val="en-US" w:eastAsia="zh-CN"/>
              </w:rPr>
              <w:t>中标人</w:t>
            </w:r>
            <w:r>
              <w:rPr>
                <w:rFonts w:hint="eastAsia" w:ascii="宋体" w:hAnsi="宋体" w:eastAsia="宋体" w:cs="宋体"/>
                <w:sz w:val="24"/>
              </w:rPr>
              <w:t xml:space="preserve">验收申请之日起10个日历天内进行验收。 </w:t>
            </w:r>
          </w:p>
          <w:p w14:paraId="05CD6AB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rPr>
            </w:pPr>
            <w:r>
              <w:rPr>
                <w:rFonts w:hint="eastAsia" w:ascii="宋体" w:hAnsi="宋体" w:eastAsia="宋体" w:cs="宋体"/>
                <w:sz w:val="24"/>
              </w:rPr>
              <w:t>（4）履约验收标准：按采购文件的质量要求和技术指标、</w:t>
            </w:r>
            <w:r>
              <w:rPr>
                <w:rFonts w:hint="eastAsia" w:ascii="宋体" w:hAnsi="宋体" w:eastAsia="宋体" w:cs="宋体"/>
                <w:sz w:val="24"/>
                <w:lang w:val="en-US" w:eastAsia="zh-CN"/>
              </w:rPr>
              <w:t>中标人</w:t>
            </w:r>
            <w:r>
              <w:rPr>
                <w:rFonts w:hint="eastAsia" w:ascii="宋体" w:hAnsi="宋体" w:eastAsia="宋体" w:cs="宋体"/>
                <w:sz w:val="24"/>
              </w:rPr>
              <w:t>的响应文件及承诺、合同约定进行验收。</w:t>
            </w:r>
          </w:p>
        </w:tc>
      </w:tr>
      <w:tr w14:paraId="3E55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14" w:type="dxa"/>
            <w:noWrap w:val="0"/>
            <w:vAlign w:val="center"/>
          </w:tcPr>
          <w:p w14:paraId="6A339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质量及供货</w:t>
            </w:r>
          </w:p>
          <w:p w14:paraId="7685D1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渠道要</w:t>
            </w:r>
            <w:r>
              <w:rPr>
                <w:rFonts w:hint="eastAsia" w:ascii="宋体" w:hAnsi="宋体" w:eastAsia="宋体" w:cs="宋体"/>
                <w:b w:val="0"/>
                <w:bCs/>
                <w:i w:val="0"/>
                <w:iCs w:val="0"/>
                <w:color w:val="auto"/>
                <w:sz w:val="24"/>
                <w:szCs w:val="24"/>
                <w:highlight w:val="none"/>
                <w:lang w:val="en-US" w:eastAsia="zh-CN"/>
              </w:rPr>
              <w:t>求</w:t>
            </w:r>
          </w:p>
        </w:tc>
        <w:tc>
          <w:tcPr>
            <w:tcW w:w="6384" w:type="dxa"/>
            <w:noWrap w:val="0"/>
            <w:vAlign w:val="center"/>
          </w:tcPr>
          <w:p w14:paraId="011A5F7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bCs/>
                <w:i w:val="0"/>
                <w:iCs w:val="0"/>
                <w:color w:val="auto"/>
                <w:sz w:val="24"/>
                <w:szCs w:val="24"/>
                <w:highlight w:val="none"/>
              </w:rPr>
              <w:t>质量要求合格，交货至</w:t>
            </w:r>
            <w:r>
              <w:rPr>
                <w:rFonts w:hint="eastAsia" w:ascii="宋体" w:hAnsi="宋体" w:eastAsia="宋体" w:cs="宋体"/>
                <w:b w:val="0"/>
                <w:bCs/>
                <w:i w:val="0"/>
                <w:iCs w:val="0"/>
                <w:color w:val="auto"/>
                <w:sz w:val="24"/>
                <w:szCs w:val="24"/>
                <w:highlight w:val="none"/>
                <w:lang w:eastAsia="zh-CN"/>
              </w:rPr>
              <w:t>招标人</w:t>
            </w:r>
            <w:r>
              <w:rPr>
                <w:rFonts w:hint="eastAsia" w:ascii="宋体" w:hAnsi="宋体" w:eastAsia="宋体" w:cs="宋体"/>
                <w:b w:val="0"/>
                <w:bCs/>
                <w:i w:val="0"/>
                <w:iCs w:val="0"/>
                <w:color w:val="auto"/>
                <w:sz w:val="24"/>
                <w:szCs w:val="24"/>
                <w:highlight w:val="none"/>
              </w:rPr>
              <w:t>指定地点,安装调试完成，符合国家强制性规定验收标准并通过</w:t>
            </w:r>
            <w:r>
              <w:rPr>
                <w:rFonts w:hint="eastAsia" w:ascii="宋体" w:hAnsi="宋体" w:eastAsia="宋体" w:cs="宋体"/>
                <w:b w:val="0"/>
                <w:bCs/>
                <w:i w:val="0"/>
                <w:iCs w:val="0"/>
                <w:color w:val="auto"/>
                <w:sz w:val="24"/>
                <w:szCs w:val="24"/>
                <w:highlight w:val="none"/>
                <w:lang w:eastAsia="zh-CN"/>
              </w:rPr>
              <w:t>招标人</w:t>
            </w:r>
            <w:r>
              <w:rPr>
                <w:rFonts w:hint="eastAsia" w:ascii="宋体" w:hAnsi="宋体" w:eastAsia="宋体" w:cs="宋体"/>
                <w:b w:val="0"/>
                <w:bCs/>
                <w:i w:val="0"/>
                <w:iCs w:val="0"/>
                <w:color w:val="auto"/>
                <w:sz w:val="24"/>
                <w:szCs w:val="24"/>
                <w:highlight w:val="none"/>
              </w:rPr>
              <w:t>验收合格。</w:t>
            </w:r>
          </w:p>
        </w:tc>
      </w:tr>
      <w:tr w14:paraId="4C76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4" w:type="dxa"/>
            <w:noWrap w:val="0"/>
            <w:vAlign w:val="center"/>
          </w:tcPr>
          <w:p w14:paraId="4188259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安装调试要求</w:t>
            </w:r>
          </w:p>
        </w:tc>
        <w:tc>
          <w:tcPr>
            <w:tcW w:w="6384" w:type="dxa"/>
            <w:noWrap w:val="0"/>
            <w:vAlign w:val="center"/>
          </w:tcPr>
          <w:p w14:paraId="4C075F5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bCs/>
                <w:i w:val="0"/>
                <w:iCs w:val="0"/>
                <w:color w:val="auto"/>
                <w:sz w:val="24"/>
                <w:szCs w:val="24"/>
                <w:highlight w:val="none"/>
                <w:lang w:val="en-US" w:eastAsia="zh-CN"/>
              </w:rPr>
              <w:t>中标人应根据项目工期要求完成软件交付，需向招标人提供相关的中文技术资料，包含但不限于授权书、使用说明书等。中标人需负责派技术人员到现场进行安装和调试，技术人员必须具备安装的实际工作经验，并负责调试至验收合格交付招标人使用。</w:t>
            </w:r>
          </w:p>
        </w:tc>
      </w:tr>
      <w:tr w14:paraId="2C97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14" w:type="dxa"/>
            <w:noWrap w:val="0"/>
            <w:vAlign w:val="center"/>
          </w:tcPr>
          <w:p w14:paraId="2CB6980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售后服务要求</w:t>
            </w:r>
          </w:p>
        </w:tc>
        <w:tc>
          <w:tcPr>
            <w:tcW w:w="6384" w:type="dxa"/>
            <w:noWrap w:val="0"/>
            <w:vAlign w:val="center"/>
          </w:tcPr>
          <w:p w14:paraId="71AEE40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1.售后服务时间：</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年，售后服务期的起始日期为招标人设备验收合格之日起开始计算。</w:t>
            </w:r>
          </w:p>
          <w:p w14:paraId="7DD4F0C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2.售后服务分电话(含网络)服务和上门服务。售后服务期内，</w:t>
            </w:r>
            <w:r>
              <w:rPr>
                <w:rFonts w:hint="eastAsia" w:ascii="宋体" w:hAnsi="宋体" w:eastAsia="宋体" w:cs="宋体"/>
                <w:sz w:val="24"/>
                <w:lang w:val="en-US" w:eastAsia="zh-CN"/>
              </w:rPr>
              <w:t>中标人</w:t>
            </w:r>
            <w:r>
              <w:rPr>
                <w:rFonts w:hint="eastAsia" w:ascii="宋体" w:hAnsi="宋体" w:eastAsia="宋体" w:cs="宋体"/>
                <w:color w:val="auto"/>
                <w:sz w:val="24"/>
                <w:highlight w:val="none"/>
              </w:rPr>
              <w:t>在接到招标人故障报修后能在2小时内通过电话(含网络)服务排除故障的，则无需上门服务。若在规定时间内不能通过电话(含网络)服务排除故障的，</w:t>
            </w:r>
            <w:r>
              <w:rPr>
                <w:rFonts w:hint="eastAsia" w:ascii="宋体" w:hAnsi="宋体" w:eastAsia="宋体" w:cs="宋体"/>
                <w:sz w:val="24"/>
                <w:lang w:val="en-US" w:eastAsia="zh-CN"/>
              </w:rPr>
              <w:t>中标人</w:t>
            </w:r>
            <w:r>
              <w:rPr>
                <w:rFonts w:hint="eastAsia" w:ascii="宋体" w:hAnsi="宋体" w:eastAsia="宋体" w:cs="宋体"/>
                <w:color w:val="auto"/>
                <w:sz w:val="24"/>
                <w:highlight w:val="none"/>
              </w:rPr>
              <w:t>应在故障报修后的12小时内到达现场，到达现场后24小时内排除故障(若涉及主要设备更换或者返厂维修的故障排除时间由双方协商确定)。</w:t>
            </w:r>
          </w:p>
          <w:p w14:paraId="6FE746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售后服务人员：</w:t>
            </w:r>
          </w:p>
          <w:p w14:paraId="7CB652C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售后服务人员联系方式：</w:t>
            </w:r>
          </w:p>
          <w:p w14:paraId="0DC0D80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b/>
                <w:bCs/>
                <w:color w:val="auto"/>
                <w:sz w:val="24"/>
                <w:highlight w:val="none"/>
              </w:rPr>
              <w:t>售后服务期内，投标人应向招标人提供软件更新、维护、升级等服务</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同时每年需有专业教师及培训团队，不少于12课时的专业技术培训服务。</w:t>
            </w:r>
          </w:p>
          <w:p w14:paraId="1884DC0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sz w:val="24"/>
                <w:szCs w:val="24"/>
                <w:highlight w:val="none"/>
                <w:lang w:val="en-US" w:eastAsia="zh-Hans"/>
              </w:rPr>
            </w:pPr>
            <w:r>
              <w:rPr>
                <w:rFonts w:hint="eastAsia" w:ascii="宋体" w:hAnsi="宋体" w:eastAsia="宋体" w:cs="宋体"/>
                <w:color w:val="auto"/>
                <w:sz w:val="24"/>
                <w:highlight w:val="none"/>
              </w:rPr>
              <w:t>4.售后服务期内涉及的人工等费用均由投标人承担。</w:t>
            </w:r>
          </w:p>
        </w:tc>
      </w:tr>
      <w:tr w14:paraId="40E1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14" w:type="dxa"/>
            <w:noWrap w:val="0"/>
            <w:vAlign w:val="center"/>
          </w:tcPr>
          <w:p w14:paraId="6F0A0F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其他商务要求</w:t>
            </w:r>
          </w:p>
        </w:tc>
        <w:tc>
          <w:tcPr>
            <w:tcW w:w="6384" w:type="dxa"/>
            <w:noWrap w:val="0"/>
            <w:vAlign w:val="center"/>
          </w:tcPr>
          <w:p w14:paraId="6211616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val="en-US" w:eastAsia="zh-CN"/>
              </w:rPr>
              <w:t>中标人应为招标人培训软件的基本使用以及基本问题及故障的处理等，具体培训方式内容和时间安排由双方协商确定，</w:t>
            </w:r>
            <w:r>
              <w:rPr>
                <w:rFonts w:hint="eastAsia" w:ascii="宋体" w:hAnsi="宋体" w:eastAsia="宋体" w:cs="宋体"/>
                <w:bCs/>
                <w:color w:val="auto"/>
                <w:sz w:val="24"/>
                <w:highlight w:val="none"/>
              </w:rPr>
              <w:t>但培训次数不得少于</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次，每次培训时长不得少于</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小时，累计培训</w:t>
            </w:r>
            <w:r>
              <w:rPr>
                <w:rFonts w:hint="eastAsia" w:ascii="宋体" w:hAnsi="宋体" w:eastAsia="宋体" w:cs="宋体"/>
                <w:bCs/>
                <w:color w:val="auto"/>
                <w:sz w:val="24"/>
                <w:highlight w:val="none"/>
                <w:lang w:val="en-US" w:eastAsia="zh-CN"/>
              </w:rPr>
              <w:t>时长</w:t>
            </w:r>
            <w:r>
              <w:rPr>
                <w:rFonts w:hint="eastAsia" w:ascii="宋体" w:hAnsi="宋体" w:eastAsia="宋体" w:cs="宋体"/>
                <w:bCs/>
                <w:color w:val="auto"/>
                <w:sz w:val="24"/>
                <w:highlight w:val="none"/>
              </w:rPr>
              <w:t>不得少于</w:t>
            </w:r>
            <w:r>
              <w:rPr>
                <w:rFonts w:hint="eastAsia" w:ascii="宋体" w:hAnsi="宋体" w:eastAsia="宋体" w:cs="宋体"/>
                <w:bCs/>
                <w:color w:val="auto"/>
                <w:sz w:val="24"/>
                <w:highlight w:val="none"/>
                <w:lang w:eastAsia="zh-CN"/>
              </w:rPr>
              <w:t>2</w:t>
            </w:r>
            <w:r>
              <w:rPr>
                <w:rFonts w:hint="eastAsia" w:ascii="宋体" w:hAnsi="宋体" w:eastAsia="宋体" w:cs="宋体"/>
                <w:bCs/>
                <w:color w:val="auto"/>
                <w:sz w:val="24"/>
                <w:highlight w:val="none"/>
              </w:rPr>
              <w:t>日，且</w:t>
            </w:r>
            <w:r>
              <w:rPr>
                <w:rFonts w:hint="eastAsia" w:ascii="宋体" w:hAnsi="宋体" w:eastAsia="宋体" w:cs="宋体"/>
                <w:b w:val="0"/>
                <w:bCs/>
                <w:i w:val="0"/>
                <w:iCs w:val="0"/>
                <w:color w:val="auto"/>
                <w:sz w:val="24"/>
                <w:szCs w:val="24"/>
                <w:highlight w:val="none"/>
                <w:lang w:val="en-US" w:eastAsia="zh-CN"/>
              </w:rPr>
              <w:t>培训费用由中标人承担。</w:t>
            </w:r>
          </w:p>
        </w:tc>
      </w:tr>
    </w:tbl>
    <w:p w14:paraId="68ACDCC2">
      <w:pPr>
        <w:spacing w:line="240" w:lineRule="auto"/>
        <w:ind w:right="35"/>
        <w:rPr>
          <w:rFonts w:hint="eastAsia"/>
          <w:color w:val="auto"/>
          <w:sz w:val="24"/>
          <w:szCs w:val="24"/>
          <w:highlight w:val="none"/>
          <w:lang w:val="en-US" w:eastAsia="zh-CN"/>
        </w:rPr>
      </w:pPr>
    </w:p>
    <w:p w14:paraId="319C9D3A">
      <w:pPr>
        <w:keepNext/>
        <w:keepLines/>
        <w:widowControl w:val="0"/>
        <w:numPr>
          <w:ilvl w:val="0"/>
          <w:numId w:val="5"/>
        </w:numPr>
        <w:spacing w:before="340" w:after="330" w:line="240" w:lineRule="auto"/>
        <w:outlineLvl w:val="1"/>
        <w:rPr>
          <w:rFonts w:hint="eastAsia" w:ascii="宋体" w:hAnsi="宋体" w:eastAsia="宋体" w:cs="宋体"/>
          <w:b/>
          <w:bCs/>
          <w:color w:val="auto"/>
          <w:sz w:val="24"/>
          <w:szCs w:val="24"/>
          <w:highlight w:val="none"/>
          <w:lang w:val="en-US" w:eastAsia="zh-CN"/>
        </w:rPr>
      </w:pPr>
      <w:bookmarkStart w:id="170" w:name="_Toc8889"/>
      <w:r>
        <w:rPr>
          <w:rFonts w:hint="eastAsia" w:ascii="Times New Roman" w:hAnsi="Times New Roman" w:eastAsia="宋体" w:cs="Times New Roman"/>
          <w:b/>
          <w:bCs/>
          <w:color w:val="auto"/>
          <w:sz w:val="28"/>
          <w:szCs w:val="28"/>
          <w:highlight w:val="none"/>
        </w:rPr>
        <w:t>★</w:t>
      </w:r>
      <w:r>
        <w:rPr>
          <w:rFonts w:hint="eastAsia" w:ascii="宋体" w:hAnsi="宋体" w:eastAsia="宋体" w:cs="宋体"/>
          <w:b/>
          <w:bCs/>
          <w:color w:val="auto"/>
          <w:sz w:val="24"/>
          <w:szCs w:val="24"/>
          <w:highlight w:val="none"/>
          <w:lang w:eastAsia="zh-CN"/>
        </w:rPr>
        <w:t>履约保证金要求</w:t>
      </w:r>
      <w:bookmarkEnd w:id="170"/>
    </w:p>
    <w:p w14:paraId="51C87C48">
      <w:pPr>
        <w:spacing w:line="240" w:lineRule="auto"/>
        <w:ind w:right="35"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履约保证金为合同金额的百分之五，中标人应在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通知书发出之日起至合同签订前以银行转账的形式向招标人提交履约保证金。</w:t>
      </w:r>
    </w:p>
    <w:p w14:paraId="4720B21A">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履行合同约定(含售后服务)完毕且验收合格后，10个日历天内无息退还中标人应退部分履约保证金。若因中标人不及时或未提供“收到退还履约保证金的收据”、“履约保证金退还申请”的，则招标人不承担任何责任。</w:t>
      </w:r>
    </w:p>
    <w:p w14:paraId="3C931B08">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3.履约保证金汇入的银行及账号：</w:t>
      </w:r>
    </w:p>
    <w:p w14:paraId="53A9C0FE">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收款账号：成都市技师学院</w:t>
      </w:r>
    </w:p>
    <w:p w14:paraId="36033283">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开户行：工行四川成都红光支行</w:t>
      </w:r>
    </w:p>
    <w:p w14:paraId="3C5B732D">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 银行账号：4402054609100031151</w:t>
      </w:r>
    </w:p>
    <w:p w14:paraId="2ED83963">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履约保证金不予退还情形:一是中标人未按合同要求履行的，其履约保证金全部扣除。二是中标人缴纳了履约保证金，但因自身原因被取消成交资格或在成交通知书发出之日起30日内(含法定节假日)中标人不按招标文件确定的事项与招标人签订合同的，其履约保证金不予退还。三是法律法规或合同约定的其他情形。</w:t>
      </w:r>
    </w:p>
    <w:p w14:paraId="3ADED48F">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bookmarkStart w:id="171" w:name="_Toc21491"/>
      <w:r>
        <w:rPr>
          <w:rFonts w:hint="eastAsia" w:ascii="宋体" w:hAnsi="宋体" w:eastAsia="宋体" w:cs="宋体"/>
          <w:b/>
          <w:bCs/>
          <w:color w:val="auto"/>
          <w:kern w:val="44"/>
          <w:sz w:val="24"/>
          <w:szCs w:val="24"/>
          <w:highlight w:val="none"/>
          <w:lang w:eastAsia="zh-CN"/>
        </w:rPr>
        <w:t>方案要求</w:t>
      </w:r>
      <w:bookmarkEnd w:id="171"/>
    </w:p>
    <w:p w14:paraId="541FE217">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投标人应根据本项目情况制定项目实施方案及售后服务方案，方案包括：（1）项目建设进度计划；（2）项目实施流程安排；（3）项目质量保障措施；（4）项目售后培训目标与计划安排。</w:t>
      </w:r>
    </w:p>
    <w:p w14:paraId="089A7456">
      <w:pPr>
        <w:keepNext/>
        <w:keepLines/>
        <w:widowControl w:val="0"/>
        <w:numPr>
          <w:ilvl w:val="0"/>
          <w:numId w:val="5"/>
        </w:numPr>
        <w:spacing w:before="340" w:after="330" w:line="240" w:lineRule="auto"/>
        <w:outlineLvl w:val="1"/>
        <w:rPr>
          <w:rFonts w:hint="eastAsia" w:ascii="宋体" w:hAnsi="宋体" w:eastAsia="宋体" w:cs="宋体"/>
          <w:b/>
          <w:bCs/>
          <w:color w:val="auto"/>
          <w:kern w:val="44"/>
          <w:sz w:val="24"/>
          <w:szCs w:val="24"/>
          <w:highlight w:val="none"/>
          <w:lang w:eastAsia="zh-CN"/>
        </w:rPr>
      </w:pPr>
      <w:r>
        <w:rPr>
          <w:rFonts w:hint="eastAsia" w:ascii="宋体" w:hAnsi="宋体" w:eastAsia="宋体" w:cs="宋体"/>
          <w:b/>
          <w:bCs/>
          <w:color w:val="auto"/>
          <w:kern w:val="44"/>
          <w:sz w:val="24"/>
          <w:szCs w:val="24"/>
          <w:highlight w:val="none"/>
          <w:lang w:val="en-US" w:eastAsia="zh-CN"/>
        </w:rPr>
        <w:t>履约验收方案</w:t>
      </w:r>
    </w:p>
    <w:p w14:paraId="626F812D">
      <w:pPr>
        <w:pStyle w:val="9"/>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1.验收的主体：成都市技师学院</w:t>
      </w:r>
    </w:p>
    <w:p w14:paraId="3F5D0B0B">
      <w:pPr>
        <w:pStyle w:val="9"/>
        <w:ind w:firstLine="520" w:firstLineChars="200"/>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2.验收时间及程序：</w:t>
      </w:r>
    </w:p>
    <w:p w14:paraId="2A25EE6A">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（1）中标人完成项目所有服务内容后，书面通知招标人进行验收，招标人自收到中标人验收申请之日起10个日历天内进行验收。</w:t>
      </w:r>
    </w:p>
    <w:p w14:paraId="1EAD9D58">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2）中标人完成项目所有服务内容后，书面通知招标人进行验收，招标人自收到中标人验收申请之日起10个日历天内组织3人及以上单数的验收小组进行现场验收；验收合格，则签署《验收报告单》；若验收不合格，中标人应在接到招标人整改通知之日起10个日历天内完成整改，再由招标人组织重新验收，若再次验收不合格视为中标人不能履约，招标人有权终止合同，并按合同约定追究中标人未按合同约定交付资源及服务的违约责任。</w:t>
      </w:r>
    </w:p>
    <w:p w14:paraId="537D24CB">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 xml:space="preserve">3.验收方式：单位内部验收 </w:t>
      </w:r>
    </w:p>
    <w:p w14:paraId="59FF7D14">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4.验收的内容：中标人完成项目服务内容的数量、质量以及中标人对商务要求的履约情况。</w:t>
      </w:r>
    </w:p>
    <w:p w14:paraId="4F16F24F">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ascii="宋体" w:hAnsi="宋体" w:eastAsia="宋体" w:cs="宋体"/>
          <w:snapToGrid w:val="0"/>
          <w:color w:val="auto"/>
          <w:spacing w:val="10"/>
          <w:sz w:val="24"/>
          <w:szCs w:val="24"/>
          <w:highlight w:val="none"/>
          <w:lang w:val="en-US" w:eastAsia="zh-CN" w:bidi="ar-SA"/>
        </w:rPr>
      </w:pPr>
      <w:r>
        <w:rPr>
          <w:rFonts w:hint="eastAsia" w:ascii="宋体" w:hAnsi="宋体" w:eastAsia="宋体" w:cs="宋体"/>
          <w:snapToGrid w:val="0"/>
          <w:color w:val="auto"/>
          <w:spacing w:val="10"/>
          <w:sz w:val="24"/>
          <w:szCs w:val="24"/>
          <w:highlight w:val="none"/>
          <w:lang w:val="en-US" w:eastAsia="zh-CN" w:bidi="ar-SA"/>
        </w:rPr>
        <w:t>5.验收标准：按招标文件的质量要求和技术指标、中标人的投标文件及承诺、合同约定进行验收。</w:t>
      </w:r>
    </w:p>
    <w:p w14:paraId="339CCD9D">
      <w:pPr>
        <w:pStyle w:val="9"/>
        <w:keepNext w:val="0"/>
        <w:keepLines w:val="0"/>
        <w:pageBreakBefore w:val="0"/>
        <w:widowControl/>
        <w:kinsoku w:val="0"/>
        <w:wordWrap/>
        <w:overflowPunct/>
        <w:topLinePunct w:val="0"/>
        <w:autoSpaceDE w:val="0"/>
        <w:autoSpaceDN w:val="0"/>
        <w:bidi w:val="0"/>
        <w:adjustRightInd w:val="0"/>
        <w:snapToGrid w:val="0"/>
        <w:ind w:firstLine="520" w:firstLineChars="200"/>
        <w:textAlignment w:val="baseline"/>
        <w:rPr>
          <w:rFonts w:hint="eastAsia"/>
          <w:lang w:val="en-US" w:eastAsia="zh-CN"/>
        </w:rPr>
      </w:pPr>
      <w:r>
        <w:rPr>
          <w:rFonts w:hint="eastAsia" w:ascii="宋体" w:hAnsi="宋体" w:eastAsia="宋体" w:cs="宋体"/>
          <w:snapToGrid w:val="0"/>
          <w:color w:val="auto"/>
          <w:spacing w:val="10"/>
          <w:sz w:val="24"/>
          <w:szCs w:val="24"/>
          <w:highlight w:val="none"/>
          <w:lang w:val="en-US" w:eastAsia="zh-CN" w:bidi="ar-SA"/>
        </w:rPr>
        <w:t>6.交付标准和方法：质量要求合格，交货至招标人指定地点,安装调试完成，符合国家强制性规定验收标准并通过招标人验收合格。</w:t>
      </w:r>
    </w:p>
    <w:p w14:paraId="0DC8CEE0">
      <w:pPr>
        <w:spacing w:line="240" w:lineRule="auto"/>
        <w:rPr>
          <w:color w:val="auto"/>
          <w:sz w:val="24"/>
          <w:szCs w:val="24"/>
          <w:highlight w:val="none"/>
        </w:rPr>
      </w:pPr>
    </w:p>
    <w:p w14:paraId="40C6BAC7">
      <w:pPr>
        <w:spacing w:line="240" w:lineRule="auto"/>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注：本章中标注“★”的条款为实质性要求，不允许有负偏离，有任意一项负偏离的，作无效投标处理</w:t>
      </w:r>
      <w:r>
        <w:rPr>
          <w:rFonts w:hint="eastAsia" w:ascii="宋体" w:hAnsi="宋体" w:eastAsia="宋体" w:cs="宋体"/>
          <w:color w:val="auto"/>
          <w:spacing w:val="9"/>
          <w:position w:val="1"/>
          <w:sz w:val="24"/>
          <w:szCs w:val="24"/>
          <w:highlight w:val="none"/>
          <w14:textOutline w14:w="4356" w14:cap="sq" w14:cmpd="sng" w14:algn="ctr">
            <w14:solidFill>
              <w14:srgbClr w14:val="000000"/>
            </w14:solidFill>
            <w14:prstDash w14:val="solid"/>
            <w14:bevel/>
          </w14:textOutline>
        </w:rPr>
        <w:t>。</w:t>
      </w:r>
    </w:p>
    <w:p w14:paraId="7DF896FF">
      <w:pPr>
        <w:spacing w:line="240" w:lineRule="auto"/>
        <w:rPr>
          <w:color w:val="auto"/>
          <w:highlight w:val="none"/>
        </w:rPr>
      </w:pPr>
    </w:p>
    <w:p w14:paraId="5D5CEE05">
      <w:pPr>
        <w:spacing w:line="240" w:lineRule="auto"/>
        <w:rPr>
          <w:color w:val="auto"/>
          <w:highlight w:val="none"/>
        </w:rPr>
      </w:pPr>
    </w:p>
    <w:p w14:paraId="6A63C8F1">
      <w:pPr>
        <w:spacing w:line="240" w:lineRule="auto"/>
        <w:rPr>
          <w:color w:val="auto"/>
          <w:highlight w:val="none"/>
        </w:rPr>
        <w:sectPr>
          <w:headerReference r:id="rId42" w:type="default"/>
          <w:footerReference r:id="rId43" w:type="default"/>
          <w:pgSz w:w="11905" w:h="16838"/>
          <w:pgMar w:top="1417" w:right="1417" w:bottom="1417" w:left="1417" w:header="0" w:footer="1134" w:gutter="0"/>
          <w:pgNumType w:fmt="decimal"/>
          <w:cols w:space="0" w:num="1"/>
        </w:sectPr>
      </w:pPr>
    </w:p>
    <w:p w14:paraId="17E2EF71">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72" w:name="_Toc19151"/>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第七章  评标办法</w:t>
      </w:r>
      <w:bookmarkEnd w:id="172"/>
    </w:p>
    <w:p w14:paraId="1341F9F3">
      <w:pPr>
        <w:spacing w:line="240" w:lineRule="auto"/>
        <w:ind w:firstLine="482" w:firstLineChars="200"/>
        <w:outlineLvl w:val="1"/>
        <w:rPr>
          <w:rFonts w:ascii="宋体" w:hAnsi="宋体" w:eastAsia="宋体" w:cs="宋体"/>
          <w:b/>
          <w:bCs/>
          <w:color w:val="auto"/>
          <w:sz w:val="24"/>
          <w:szCs w:val="24"/>
          <w:highlight w:val="none"/>
        </w:rPr>
      </w:pPr>
      <w:bookmarkStart w:id="173" w:name="_Toc25682"/>
      <w:bookmarkStart w:id="174" w:name="_Toc622"/>
      <w:bookmarkStart w:id="175" w:name="_Toc5040"/>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总则</w:t>
      </w:r>
      <w:bookmarkEnd w:id="173"/>
      <w:bookmarkEnd w:id="174"/>
      <w:bookmarkEnd w:id="175"/>
    </w:p>
    <w:p w14:paraId="7FC0D25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1.1 根据《中华人民共和国政府采购法》《中华人民共和国政府采购法实施条例》《政府采购货物和服务招标投标管理办法》等法律制度，结合采购项目特点制定本评标办法。</w:t>
      </w:r>
    </w:p>
    <w:p w14:paraId="2DED55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 评标工作由招标代理机构负责组织，具体评标事务由招标代理机构依法组建的评标委员会负责。评标委员会由招标人代表和有关技术、经济、法律等方面的专家组成。</w:t>
      </w:r>
    </w:p>
    <w:p w14:paraId="4DBA7A5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1.3 评标工作应遵循公平、公正、科学及择优的原则，并以相同的评标程序和标准对待所有的投标人。</w:t>
      </w:r>
    </w:p>
    <w:p w14:paraId="086684D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 评标委员会按照招标文件规定的评标方法和标准进行评标，并独立履行下列职责：</w:t>
      </w:r>
    </w:p>
    <w:p w14:paraId="5911F1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1.4.1 熟悉和理解招标文件；</w:t>
      </w:r>
    </w:p>
    <w:p w14:paraId="1483512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1.4.2 审查投标人投标文件等是否满足招标文件要求，并作出评价；</w:t>
      </w:r>
    </w:p>
    <w:p w14:paraId="368CD3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1.4.3 根据需要要求招标采购单位对招标文件作出解释；根据需要要求投标人对投标文件有关事项作出澄清、说明或者更正；</w:t>
      </w:r>
    </w:p>
    <w:p w14:paraId="5F0E9F2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1.4.4 推荐中标候选人，或者受招标人委托确定中标人；</w:t>
      </w:r>
    </w:p>
    <w:p w14:paraId="17B0671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1.4.5 起草评标报告并进行签署；</w:t>
      </w:r>
    </w:p>
    <w:p w14:paraId="4FC8BE7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1.4.6 向招标采购单位、财政部门或者其他监督部门报告非法干预评标工作的行为；</w:t>
      </w:r>
    </w:p>
    <w:p w14:paraId="2CF827B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1.4.7 法律、法规和规章规定的其他职责。</w:t>
      </w:r>
    </w:p>
    <w:p w14:paraId="1815C7E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1.5 评标过程独立、保密。投标人非法干预</w:t>
      </w:r>
      <w:r>
        <w:rPr>
          <w:rFonts w:hint="eastAsia" w:ascii="宋体" w:hAnsi="宋体" w:eastAsia="宋体" w:cs="宋体"/>
          <w:color w:val="auto"/>
          <w:spacing w:val="6"/>
          <w:sz w:val="24"/>
          <w:szCs w:val="24"/>
          <w:highlight w:val="none"/>
          <w:lang w:eastAsia="zh-CN"/>
        </w:rPr>
        <w:t>评标</w:t>
      </w:r>
      <w:r>
        <w:rPr>
          <w:rFonts w:hint="eastAsia" w:ascii="宋体" w:hAnsi="宋体" w:eastAsia="宋体" w:cs="宋体"/>
          <w:color w:val="auto"/>
          <w:spacing w:val="6"/>
          <w:sz w:val="24"/>
          <w:szCs w:val="24"/>
          <w:highlight w:val="none"/>
        </w:rPr>
        <w:t>过程的行为将导致其投标文件作为无效处理。</w:t>
      </w:r>
    </w:p>
    <w:p w14:paraId="18EF2187">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 评标委员会评价投标文件的响应性，对于投标人而言，除评标委员会要求其澄清、说明或者更正而提供的资料外，仅依据投标文件本身的内容，不寻求其他外部证据。</w:t>
      </w:r>
    </w:p>
    <w:p w14:paraId="5898F5AD">
      <w:pPr>
        <w:spacing w:line="240" w:lineRule="auto"/>
        <w:ind w:firstLine="482" w:firstLineChars="200"/>
        <w:outlineLvl w:val="1"/>
        <w:rPr>
          <w:rFonts w:ascii="宋体" w:hAnsi="宋体" w:eastAsia="宋体" w:cs="宋体"/>
          <w:b/>
          <w:bCs/>
          <w:color w:val="auto"/>
          <w:sz w:val="24"/>
          <w:szCs w:val="24"/>
          <w:highlight w:val="none"/>
        </w:rPr>
      </w:pPr>
      <w:bookmarkStart w:id="176" w:name="_Toc15913"/>
      <w:bookmarkStart w:id="177" w:name="_Toc26276"/>
      <w:bookmarkStart w:id="178" w:name="_Toc13707"/>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评标方法</w:t>
      </w:r>
      <w:bookmarkEnd w:id="176"/>
      <w:bookmarkEnd w:id="177"/>
      <w:bookmarkEnd w:id="178"/>
    </w:p>
    <w:p w14:paraId="0DC67BAD">
      <w:pPr>
        <w:spacing w:before="75" w:line="240" w:lineRule="auto"/>
        <w:ind w:left="504"/>
        <w:rPr>
          <w:rFonts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本项目评标方法为：</w:t>
      </w:r>
      <w:r>
        <w:rPr>
          <w:rFonts w:hint="eastAsia" w:ascii="宋体" w:hAnsi="宋体" w:eastAsia="宋体" w:cs="宋体"/>
          <w:b/>
          <w:bCs/>
          <w:color w:val="auto"/>
          <w:sz w:val="24"/>
          <w:szCs w:val="24"/>
          <w:highlight w:val="none"/>
        </w:rPr>
        <w:t>综合评分法</w:t>
      </w:r>
      <w:r>
        <w:rPr>
          <w:rFonts w:ascii="宋体" w:hAnsi="宋体" w:eastAsia="宋体" w:cs="宋体"/>
          <w:color w:val="auto"/>
          <w:spacing w:val="8"/>
          <w:sz w:val="24"/>
          <w:szCs w:val="24"/>
          <w:highlight w:val="none"/>
        </w:rPr>
        <w:t>。</w:t>
      </w:r>
    </w:p>
    <w:p w14:paraId="0CF845B9">
      <w:pPr>
        <w:spacing w:line="240" w:lineRule="auto"/>
        <w:ind w:firstLine="482" w:firstLineChars="200"/>
        <w:outlineLvl w:val="1"/>
        <w:rPr>
          <w:rFonts w:ascii="宋体" w:hAnsi="宋体" w:eastAsia="宋体" w:cs="宋体"/>
          <w:b/>
          <w:bCs/>
          <w:color w:val="auto"/>
          <w:sz w:val="24"/>
          <w:szCs w:val="24"/>
          <w:highlight w:val="none"/>
        </w:rPr>
      </w:pPr>
      <w:bookmarkStart w:id="179" w:name="_Toc19465"/>
      <w:bookmarkStart w:id="180" w:name="_Toc11326"/>
      <w:bookmarkStart w:id="181" w:name="_Toc30788"/>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评标程序</w:t>
      </w:r>
      <w:bookmarkEnd w:id="179"/>
      <w:bookmarkEnd w:id="180"/>
      <w:bookmarkEnd w:id="181"/>
    </w:p>
    <w:p w14:paraId="074FBB8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招标人或者招标代理机构应当依法对投标人的资格进行审查，合格投标人不少于3人时，进入评标委员会正式评标环节。</w:t>
      </w:r>
    </w:p>
    <w:p w14:paraId="22C0DA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 熟悉和理解招标文件和停止评标。</w:t>
      </w:r>
    </w:p>
    <w:p w14:paraId="14E2439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评标委员会正式评标前，应当对招标文件进行熟悉和理解，内容主要包括招标文件中实质性要求、采购项目技术、服务和商务要求、评标方法和标准以及可能涉及签订采购合同的内容等。</w:t>
      </w:r>
    </w:p>
    <w:p w14:paraId="2A84028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 评标委员会熟悉和理解招标文件以及评标过程中，发现本招标文件有下列情形之一的，评标委员会应当停止评标：</w:t>
      </w:r>
    </w:p>
    <w:p w14:paraId="32DC7AF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3.1.2.1 招标文件的规定存在歧义、重大缺陷的；</w:t>
      </w:r>
    </w:p>
    <w:p w14:paraId="56C913A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3.1.2.2 招标文件明显以不合理条件对供应商实行差别待遇或者歧视待遇的；</w:t>
      </w:r>
    </w:p>
    <w:p w14:paraId="2A2A52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3.1.2.3 采购项目属于国家规定的优先、强制采购范围，但是招标文件未依法体现优先、强制采购相关规定的；</w:t>
      </w:r>
    </w:p>
    <w:p w14:paraId="1DF8D55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3.1.2.4 采购项目属于政府采购促进中小企业发展的范围，但是招标文件未依法体现促进中小企业发展相关规定的；</w:t>
      </w:r>
    </w:p>
    <w:p w14:paraId="1458955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3.1.2.5 招标文件规定的评标方法是综合评分法、最低评标价法之外的评标方法，或者虽然名称为综合评分法、最低评标价法，但实际上不符合国家规定；</w:t>
      </w:r>
    </w:p>
    <w:p w14:paraId="3CF3DA2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3.1.2.6 招标文件将投标人的资格条件列为评分因素的；</w:t>
      </w:r>
    </w:p>
    <w:p w14:paraId="2F52EE0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3.1.2.7 招标文件有违反国家其他有关强制性规定的情形。</w:t>
      </w:r>
    </w:p>
    <w:p w14:paraId="2072EDA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3.1.3 出现本条 3.1.2 规定应当停止评标情形的，评标委员会成员应当向招标采购单位书面说明情况。除本条规定和评标委员会无法依法组建的情形外，评标委员会成员不得以任何方式和理由停止评标。</w:t>
      </w:r>
    </w:p>
    <w:p w14:paraId="0D7926A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 符合性检查。</w:t>
      </w:r>
    </w:p>
    <w:p w14:paraId="1093749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39FDB4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 投标文件(包括单独递交的开标一览表)有下列情形的，本项目不作为实质性要求进行规定，即不作为符合性审查事项，不得作为无效投标处理：</w:t>
      </w:r>
    </w:p>
    <w:p w14:paraId="0C0843D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3.2.2.1 存在个别地方(不超过2个)没有法定代表人(负责人)签字，但有法定代表人(负责人)的私人印章或者有效授权代理人签字的；</w:t>
      </w:r>
    </w:p>
    <w:p w14:paraId="75601F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3.2.2.2 除招标文件明确要求加盖单位(法人)公章的以外，其他地方以相关专用章加盖的；</w:t>
      </w:r>
    </w:p>
    <w:p w14:paraId="38F45B3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3.2.2.3 以骑缝章的形式代替投标文件内容逐页盖章的(但是骑缝章模糊不清，印章名称无法辨认的除外)；</w:t>
      </w:r>
    </w:p>
    <w:p w14:paraId="19D2F3D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3.2.2.4 其他不影响采购项目实质性要求的情形。</w:t>
      </w:r>
    </w:p>
    <w:p w14:paraId="71FBA92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 除政府采购法律制度规定的情形外，本项目投标人或者其投标文件有下列情形之一的，作为无效投标处理：</w:t>
      </w:r>
    </w:p>
    <w:p w14:paraId="3FF474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3.2.3.1 投标文件正副本数量不足的；</w:t>
      </w:r>
    </w:p>
    <w:p w14:paraId="1AEDB1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3.2.3.2 投标文件未按照招标文件要求签署、盖章的；</w:t>
      </w:r>
    </w:p>
    <w:p w14:paraId="53E9B36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3.2.3.3 投标文件组成明显不符合招标文件的规定要求，影响评标委员会评判的；</w:t>
      </w:r>
    </w:p>
    <w:p w14:paraId="3F00153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3.2.3.4 投标文件的格式、语言、计量单位、报价货币、知识产权、投标有效期等不符合招标文件的规定，影响评标委员会评判的；</w:t>
      </w:r>
    </w:p>
    <w:p w14:paraId="76365B8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3.2.3.5 投标报价不符合招标文件规定的价格标底和其他报价规定的；</w:t>
      </w:r>
    </w:p>
    <w:p w14:paraId="7014EA1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3.2.3.6 技术应答内容没有完全响应招标文件的实质性要求的；</w:t>
      </w:r>
    </w:p>
    <w:p w14:paraId="4BBB636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3.2.3.7 招标文件有明确要求，但投标文件未载明或者载明的采购项目履约时间、方式、数量与招标文件要求不一致的；</w:t>
      </w:r>
    </w:p>
    <w:p w14:paraId="06B791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3.2.3.8 投标文件含有招标人不能接受的附加条件的。</w:t>
      </w:r>
    </w:p>
    <w:p w14:paraId="0293819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 比较与评价。按招标文件中规定的评标方法和标准，对未作无效投标处理的投标文件进行技术、服务、商务等方面评估，综合比较与评价。</w:t>
      </w:r>
    </w:p>
    <w:p w14:paraId="6363F16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 复核。评分汇总结束后，评标委员会应当进行复核，特别要对拟推荐为中标候选人的、报价最低的、投标文件被认定为无效的进行重点复核。</w:t>
      </w:r>
    </w:p>
    <w:p w14:paraId="3539530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 推荐三名中标候选人。中标候选人应当排序。</w:t>
      </w:r>
    </w:p>
    <w:p w14:paraId="4CBE966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14:paraId="0596D4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可推荐的中标候选人数量不能满足招标文件规定的数量的，只有在获得招标人书面同意后，可以根据实际情况推荐中标候选供应商。未获得招标人的书面同意,评标委员会不得在招标文件规定之外推荐中标候选人，否则，招标人可以不予认可。</w:t>
      </w:r>
    </w:p>
    <w:p w14:paraId="191713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 出具评标报告。评标委员会推荐中标候选人后，应当向招标采购单位出具评标报告。评标报告应当包括下列内容：</w:t>
      </w:r>
    </w:p>
    <w:p w14:paraId="0E70E46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3.6.1 招标公告刊登的媒体名称、开标日期和地点；</w:t>
      </w:r>
    </w:p>
    <w:p w14:paraId="6A9DAB2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3.6.2 获取招标文件的投标人名单和评标委员会成员名单；</w:t>
      </w:r>
    </w:p>
    <w:p w14:paraId="3315859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3.6.3 评标方法和标准；</w:t>
      </w:r>
    </w:p>
    <w:p w14:paraId="1389560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3.6.4 开标记录和评标情况及说明，包括无效投标人名单及原因；</w:t>
      </w:r>
    </w:p>
    <w:p w14:paraId="297421B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3.6.5 评标结果和中标候选供应商排序表；</w:t>
      </w:r>
    </w:p>
    <w:p w14:paraId="2EEC9C5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3.6.6 评标委员会授标建议；</w:t>
      </w:r>
    </w:p>
    <w:p w14:paraId="567122C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3.6.7 报价最高的投标人为中标候选人的，评标委员会应当对其报价的合理性予以特别说明。</w:t>
      </w:r>
    </w:p>
    <w:p w14:paraId="55DAD23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BAA37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3.7 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3C5408F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 投标人应当书面澄清、说明或者更正。</w:t>
      </w:r>
    </w:p>
    <w:p w14:paraId="1FB80BA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3.8.1 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17FCAAA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3.8.2 投标人应当书面澄清、说明或者更正，并加盖公章或签字确认(投标人为法人的，应当由其法定代表人/单位负责人或者授权代表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14:paraId="4A25632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 评标委员会要求投标人澄清、说明或者更正，不得超出招标文件的范围，不得以此让投标人实质改变投标文件的内容，不得影响投标人公平竞争。本项目下列内容不得澄清：</w:t>
      </w:r>
    </w:p>
    <w:p w14:paraId="1ABE7AB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3.8.3.1 按财政部规定应当在评标时不予承认的投标文件内容事项；</w:t>
      </w:r>
    </w:p>
    <w:p w14:paraId="47A41AB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3.8.3.2 投标文件中已经明确的内容事项；</w:t>
      </w:r>
    </w:p>
    <w:p w14:paraId="2592141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3.8.3.3 投标文件未提供的材料。</w:t>
      </w:r>
    </w:p>
    <w:p w14:paraId="1DE74AC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 本项目采购过程中，投标文件出现下列情况的，按照下列规定修正：</w:t>
      </w:r>
    </w:p>
    <w:p w14:paraId="43C1112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3.8.4.1 投标文件中开标一览表(报价表)内容与投标文件中响应内容不一致的，以开标一览表(报价表)为准；</w:t>
      </w:r>
    </w:p>
    <w:p w14:paraId="4D21B0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3.8.4.2 大写金额和小写金额不一致的，以大写金额为准；</w:t>
      </w:r>
    </w:p>
    <w:p w14:paraId="13D35F6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3.8.4.3 单价金额小数点或者百分比有明显错位的，以开标一览表的总价为准，并修改单价；</w:t>
      </w:r>
    </w:p>
    <w:p w14:paraId="33BDEC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3.8.4.4 总价金额与按单价汇总金额不一致的，以单价金额计算结果为准。</w:t>
      </w:r>
    </w:p>
    <w:p w14:paraId="7FB3E1A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出现3.8.4.4规定情形，单价汇总金额比总价金额高，且超过采购预算或者本项目最高限价的，投标人投标文件应作为无效投标处理；单价汇总金额比总价金额高，但未超过采购预算或者本项目最高限价的，应以单价汇总金额作为价格评分依据。</w:t>
      </w:r>
    </w:p>
    <w:p w14:paraId="6BFCCF46">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14:paraId="07FCE7E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注：评标委员会当积极履行澄清、说明或者更正的职责，不得滥用权力。投标人的投标文件可以要求澄清、说明或者更正的，不得未经澄清、说明或者更正而直接作无效投标处理。</w:t>
      </w:r>
    </w:p>
    <w:p w14:paraId="5E1CC5F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3.9 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618D04D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书面说明应当签字确认或者加盖公章，否则无效。书面说明的签字确认，投标人为法人的，由其法定代表人或其授权代表签字确认；投标人为其他组织的，由其主要负责人或其授权代表签字确认；投标人为自然人的，由其本人或其授权代表签字确认。</w:t>
      </w:r>
    </w:p>
    <w:p w14:paraId="3B05778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795FA0C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3.10招标采购单位现场复核评标结果。</w:t>
      </w:r>
    </w:p>
    <w:p w14:paraId="024469E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评标结果汇总完成后，招标采购单位应当组织2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14:paraId="67EE521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3.10.1.1分值汇总计算错误的；</w:t>
      </w:r>
    </w:p>
    <w:p w14:paraId="591B509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3.10.1.2分项评分超出评分标准范围的；</w:t>
      </w:r>
    </w:p>
    <w:p w14:paraId="2156E25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3.10.1.3评标委员会成员对客观评审因素评分不一致的；</w:t>
      </w:r>
    </w:p>
    <w:p w14:paraId="0F2FC7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3.10.1.4经评标委员会认定评分畸高、畸低的。</w:t>
      </w:r>
    </w:p>
    <w:p w14:paraId="6B1C88C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存在本条上述规定情形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14:paraId="1068470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3.10.2有下列情形之一的，不得修改评标结果或者重新评标：</w:t>
      </w:r>
    </w:p>
    <w:p w14:paraId="7A3C4E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3.10.2.1评标委员会已经出具评标报告并且离开评标现场的；</w:t>
      </w:r>
    </w:p>
    <w:p w14:paraId="0187156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3.10.2.2招标采购单位现场复核时，复核工作人员数量不足的；</w:t>
      </w:r>
    </w:p>
    <w:p w14:paraId="690BD44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3.10.2.3招标采购单位现场复核时，没有采购监督人员现场监督的；</w:t>
      </w:r>
    </w:p>
    <w:p w14:paraId="3A0307A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3.10.2.4招标采购单位现场复核内容超出规定范围的；</w:t>
      </w:r>
    </w:p>
    <w:p w14:paraId="1A01CA5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3.10.2.5招标采购单位未提供书面建议的。 </w:t>
      </w:r>
    </w:p>
    <w:p w14:paraId="212BA43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评标细则及标准</w:t>
      </w:r>
    </w:p>
    <w:p w14:paraId="23E5011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3.11.1 本次综合评分的因素是：详见“综合评分明细表”。</w:t>
      </w:r>
    </w:p>
    <w:p w14:paraId="4BA14D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3.11.2 评标委员会成员应当根据自身专业情况对每个有效投标人的投标文件进行独立评分，加权汇总每项评分因素的得分，得出每个有效投标人的总分。技术类评分因素由技术方面评标委员会成员独立评分。经济类评分因素由经济方面评标委员会成员独立评分。政策合同类的评分因素由法律方面评标委员会成员独立评分。招标人代表原则上对技术类评分因素独立评分。价格和其他不能明确区分的评分因素由评标委员会成员共同评分。</w:t>
      </w:r>
    </w:p>
    <w:p w14:paraId="1AD4AC3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 综合评分明细表</w:t>
      </w:r>
    </w:p>
    <w:p w14:paraId="1C91EAF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3.11.3.1 综合评分明细表的制定以科学合理、降低评委会自由裁量权为原则。</w:t>
      </w:r>
    </w:p>
    <w:p w14:paraId="3055300D">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3.11.3.2 综合评分明细表</w:t>
      </w:r>
    </w:p>
    <w:p w14:paraId="7FB8D049">
      <w:pPr>
        <w:spacing w:line="240" w:lineRule="auto"/>
        <w:rPr>
          <w:color w:val="auto"/>
          <w:sz w:val="2"/>
          <w:highlight w:val="none"/>
        </w:rPr>
      </w:pPr>
    </w:p>
    <w:p w14:paraId="67A88C03">
      <w:pPr>
        <w:spacing w:line="240" w:lineRule="auto"/>
        <w:rPr>
          <w:rFonts w:ascii="宋体" w:hAnsi="宋体" w:eastAsia="宋体" w:cs="宋体"/>
          <w:b/>
          <w:bCs/>
          <w:color w:val="auto"/>
          <w:spacing w:val="6"/>
          <w:sz w:val="28"/>
          <w:szCs w:val="28"/>
          <w:highlight w:val="none"/>
        </w:rPr>
      </w:pPr>
      <w:r>
        <w:rPr>
          <w:rFonts w:ascii="宋体" w:hAnsi="宋体" w:eastAsia="宋体" w:cs="宋体"/>
          <w:b/>
          <w:bCs/>
          <w:color w:val="auto"/>
          <w:spacing w:val="6"/>
          <w:sz w:val="28"/>
          <w:szCs w:val="28"/>
          <w:highlight w:val="none"/>
        </w:rPr>
        <w:br w:type="page"/>
      </w:r>
    </w:p>
    <w:p w14:paraId="6BA48915">
      <w:pPr>
        <w:pStyle w:val="9"/>
        <w:spacing w:line="240" w:lineRule="auto"/>
        <w:rPr>
          <w:color w:val="auto"/>
          <w:highlight w:val="none"/>
        </w:rPr>
      </w:pPr>
    </w:p>
    <w:p w14:paraId="07F1E3B2">
      <w:pPr>
        <w:spacing w:line="240" w:lineRule="auto"/>
        <w:ind w:firstLine="586" w:firstLineChars="200"/>
        <w:jc w:val="center"/>
        <w:outlineLvl w:val="9"/>
        <w:rPr>
          <w:rFonts w:ascii="宋体" w:hAnsi="宋体" w:eastAsia="宋体" w:cs="宋体"/>
          <w:b/>
          <w:bCs/>
          <w:color w:val="auto"/>
          <w:spacing w:val="6"/>
          <w:sz w:val="28"/>
          <w:szCs w:val="28"/>
          <w:highlight w:val="none"/>
        </w:rPr>
      </w:pPr>
      <w:bookmarkStart w:id="182" w:name="_Toc13872"/>
      <w:bookmarkStart w:id="183" w:name="_Toc22288"/>
      <w:r>
        <w:rPr>
          <w:rFonts w:hint="eastAsia" w:ascii="宋体" w:hAnsi="宋体" w:eastAsia="宋体" w:cs="宋体"/>
          <w:b/>
          <w:bCs/>
          <w:color w:val="auto"/>
          <w:spacing w:val="6"/>
          <w:sz w:val="28"/>
          <w:szCs w:val="28"/>
          <w:highlight w:val="none"/>
        </w:rPr>
        <w:t xml:space="preserve">   综合评分明细表</w:t>
      </w:r>
      <w:bookmarkEnd w:id="182"/>
      <w:bookmarkEnd w:id="183"/>
    </w:p>
    <w:tbl>
      <w:tblPr>
        <w:tblStyle w:val="18"/>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79"/>
        <w:gridCol w:w="657"/>
        <w:gridCol w:w="5378"/>
        <w:gridCol w:w="779"/>
      </w:tblGrid>
      <w:tr w14:paraId="0686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34" w:type="pct"/>
            <w:noWrap w:val="0"/>
            <w:vAlign w:val="center"/>
          </w:tcPr>
          <w:p w14:paraId="422B7A42">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bookmarkStart w:id="184" w:name="_Toc1463"/>
            <w:r>
              <w:rPr>
                <w:rFonts w:hint="eastAsia" w:ascii="宋体" w:hAnsi="宋体" w:eastAsia="宋体" w:cs="宋体"/>
                <w:b/>
                <w:sz w:val="21"/>
                <w:szCs w:val="21"/>
                <w:lang w:val="en-US" w:eastAsia="zh-CN"/>
              </w:rPr>
              <w:t>序号</w:t>
            </w:r>
          </w:p>
        </w:tc>
        <w:tc>
          <w:tcPr>
            <w:tcW w:w="768" w:type="pct"/>
            <w:noWrap w:val="0"/>
            <w:vAlign w:val="center"/>
          </w:tcPr>
          <w:p w14:paraId="4CF887E0">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评分</w:t>
            </w:r>
          </w:p>
          <w:p w14:paraId="7DB89165">
            <w:pPr>
              <w:keepNext w:val="0"/>
              <w:keepLines w:val="0"/>
              <w:pageBreakBefore w:val="0"/>
              <w:kinsoku/>
              <w:wordWrap/>
              <w:overflowPunct/>
              <w:topLinePunct w:val="0"/>
              <w:autoSpaceDE/>
              <w:autoSpaceDN/>
              <w:bidi w:val="0"/>
              <w:spacing w:beforeAutospacing="0"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因素</w:t>
            </w:r>
          </w:p>
        </w:tc>
        <w:tc>
          <w:tcPr>
            <w:tcW w:w="366" w:type="pct"/>
            <w:noWrap w:val="0"/>
            <w:vAlign w:val="center"/>
          </w:tcPr>
          <w:p w14:paraId="426B704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2996" w:type="pct"/>
            <w:noWrap w:val="0"/>
            <w:vAlign w:val="center"/>
          </w:tcPr>
          <w:p w14:paraId="0ECDDA2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Hans"/>
              </w:rPr>
              <w:t>商务技术</w:t>
            </w:r>
            <w:r>
              <w:rPr>
                <w:rFonts w:hint="eastAsia" w:ascii="宋体" w:hAnsi="宋体" w:eastAsia="宋体" w:cs="宋体"/>
                <w:b/>
                <w:sz w:val="21"/>
                <w:szCs w:val="21"/>
              </w:rPr>
              <w:t>评审细则</w:t>
            </w:r>
          </w:p>
        </w:tc>
        <w:tc>
          <w:tcPr>
            <w:tcW w:w="434" w:type="pct"/>
            <w:noWrap w:val="0"/>
            <w:vAlign w:val="center"/>
          </w:tcPr>
          <w:p w14:paraId="494E5E9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备注</w:t>
            </w:r>
          </w:p>
        </w:tc>
      </w:tr>
      <w:tr w14:paraId="1A9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34" w:type="pct"/>
            <w:noWrap w:val="0"/>
            <w:vAlign w:val="center"/>
          </w:tcPr>
          <w:p w14:paraId="73DED44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8" w:type="pct"/>
            <w:noWrap w:val="0"/>
            <w:vAlign w:val="center"/>
          </w:tcPr>
          <w:p w14:paraId="2A4104C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报价</w:t>
            </w:r>
            <w:r>
              <w:rPr>
                <w:rFonts w:hint="eastAsia" w:ascii="宋体" w:hAnsi="宋体" w:eastAsia="宋体" w:cs="宋体"/>
                <w:sz w:val="21"/>
                <w:szCs w:val="21"/>
                <w:lang w:val="en-US" w:eastAsia="zh-CN"/>
              </w:rPr>
              <w:t>30%</w:t>
            </w:r>
          </w:p>
        </w:tc>
        <w:tc>
          <w:tcPr>
            <w:tcW w:w="366" w:type="pct"/>
            <w:noWrap w:val="0"/>
            <w:vAlign w:val="center"/>
          </w:tcPr>
          <w:p w14:paraId="6C134DD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30</w:t>
            </w:r>
          </w:p>
        </w:tc>
        <w:tc>
          <w:tcPr>
            <w:tcW w:w="2996" w:type="pct"/>
            <w:noWrap w:val="0"/>
            <w:vAlign w:val="center"/>
          </w:tcPr>
          <w:p w14:paraId="3C6F13C0">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snapToGrid w:val="0"/>
                <w:color w:val="000000"/>
                <w:spacing w:val="-3"/>
                <w:kern w:val="0"/>
                <w:sz w:val="21"/>
                <w:szCs w:val="21"/>
                <w:lang w:val="en-US" w:eastAsia="zh-CN" w:bidi="ar-SA"/>
              </w:rPr>
              <w:t>1、</w:t>
            </w:r>
            <w:r>
              <w:rPr>
                <w:rFonts w:hint="eastAsia" w:ascii="宋体" w:hAnsi="宋体" w:eastAsia="宋体" w:cs="宋体"/>
                <w:spacing w:val="-3"/>
                <w:kern w:val="0"/>
                <w:sz w:val="21"/>
                <w:szCs w:val="21"/>
                <w:highlight w:val="none"/>
                <w:lang w:val="en-US" w:eastAsia="zh-CN" w:bidi="ar-SA"/>
              </w:rPr>
              <w:t>价格分采用低价优先法计算，即有效投标报价的最低价为评审基准价，其最低报价为满分。其他投标人的报价分统一按照下列公式计算：</w:t>
            </w:r>
          </w:p>
          <w:p w14:paraId="37773C81">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2、</w:t>
            </w:r>
            <w:r>
              <w:rPr>
                <w:rFonts w:hint="eastAsia" w:ascii="宋体" w:hAnsi="宋体" w:eastAsia="宋体" w:cs="宋体"/>
                <w:spacing w:val="-3"/>
                <w:kern w:val="0"/>
                <w:sz w:val="21"/>
                <w:szCs w:val="21"/>
                <w:highlight w:val="none"/>
                <w:lang w:val="en-US" w:eastAsia="zh-CN" w:bidi="ar-SA"/>
              </w:rPr>
              <w:t>报价得分＝（评审基准价/最后报价）×30。</w:t>
            </w:r>
          </w:p>
          <w:p w14:paraId="39E30F5C">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注：计算结果四舍五入到小数点后2位；小微企业（监狱企业、残疾人福利单位视同小微企业）给予10%的价格扣除。</w:t>
            </w:r>
          </w:p>
        </w:tc>
        <w:tc>
          <w:tcPr>
            <w:tcW w:w="434" w:type="pct"/>
            <w:noWrap w:val="0"/>
            <w:vAlign w:val="center"/>
          </w:tcPr>
          <w:p w14:paraId="5D193002">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val="en-US" w:eastAsia="zh-CN" w:bidi="ar-SA"/>
              </w:rPr>
            </w:pPr>
          </w:p>
        </w:tc>
      </w:tr>
      <w:tr w14:paraId="07D8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34" w:type="pct"/>
            <w:noWrap w:val="0"/>
            <w:vAlign w:val="center"/>
          </w:tcPr>
          <w:p w14:paraId="6B256C9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68" w:type="pct"/>
            <w:noWrap w:val="0"/>
            <w:vAlign w:val="center"/>
          </w:tcPr>
          <w:p w14:paraId="68D1E27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技术响应4</w:t>
            </w:r>
            <w:r>
              <w:rPr>
                <w:rFonts w:hint="eastAsia" w:ascii="宋体" w:hAnsi="宋体" w:eastAsia="宋体" w:cs="宋体"/>
                <w:sz w:val="21"/>
                <w:szCs w:val="21"/>
                <w:lang w:eastAsia="zh-CN"/>
              </w:rPr>
              <w:t>0</w:t>
            </w:r>
            <w:r>
              <w:rPr>
                <w:rFonts w:hint="eastAsia" w:ascii="宋体" w:hAnsi="宋体" w:eastAsia="宋体" w:cs="宋体"/>
                <w:sz w:val="21"/>
                <w:szCs w:val="21"/>
                <w:lang w:val="en-US" w:eastAsia="zh-CN"/>
              </w:rPr>
              <w:t>%</w:t>
            </w:r>
          </w:p>
        </w:tc>
        <w:tc>
          <w:tcPr>
            <w:tcW w:w="366" w:type="pct"/>
            <w:noWrap w:val="0"/>
            <w:vAlign w:val="center"/>
          </w:tcPr>
          <w:p w14:paraId="687F600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40</w:t>
            </w:r>
          </w:p>
        </w:tc>
        <w:tc>
          <w:tcPr>
            <w:tcW w:w="2996" w:type="pct"/>
            <w:noWrap w:val="0"/>
            <w:vAlign w:val="center"/>
          </w:tcPr>
          <w:p w14:paraId="21589DB8">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spacing w:val="-3"/>
                <w:kern w:val="0"/>
                <w:sz w:val="21"/>
                <w:szCs w:val="21"/>
                <w:highlight w:val="none"/>
                <w:lang w:eastAsia="zh-CN" w:bidi="ar-SA"/>
              </w:rPr>
              <w:t>1、</w:t>
            </w:r>
            <w:r>
              <w:rPr>
                <w:rFonts w:hint="eastAsia" w:ascii="宋体" w:hAnsi="宋体" w:eastAsia="宋体" w:cs="宋体"/>
                <w:spacing w:val="-3"/>
                <w:kern w:val="0"/>
                <w:sz w:val="21"/>
                <w:szCs w:val="21"/>
                <w:highlight w:val="none"/>
                <w:lang w:val="en-US" w:eastAsia="zh-CN" w:bidi="ar-SA"/>
              </w:rPr>
              <w:t>技术要求完全满足响应文件要求得</w:t>
            </w:r>
            <w:r>
              <w:rPr>
                <w:rFonts w:hint="eastAsia" w:ascii="宋体" w:hAnsi="宋体" w:eastAsia="宋体" w:cs="宋体"/>
                <w:spacing w:val="-3"/>
                <w:kern w:val="0"/>
                <w:sz w:val="21"/>
                <w:szCs w:val="21"/>
                <w:highlight w:val="none"/>
                <w:lang w:eastAsia="zh-CN" w:bidi="ar-SA"/>
              </w:rPr>
              <w:t>40</w:t>
            </w:r>
            <w:r>
              <w:rPr>
                <w:rFonts w:hint="eastAsia" w:ascii="宋体" w:hAnsi="宋体" w:eastAsia="宋体" w:cs="宋体"/>
                <w:spacing w:val="-3"/>
                <w:kern w:val="0"/>
                <w:sz w:val="21"/>
                <w:szCs w:val="21"/>
                <w:highlight w:val="none"/>
                <w:lang w:val="en-US" w:eastAsia="zh-CN" w:bidi="ar-SA"/>
              </w:rPr>
              <w:t>分（“</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”号重要技术参数10项，其他参数50项）。</w:t>
            </w:r>
          </w:p>
          <w:p w14:paraId="61130389">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pacing w:val="-3"/>
                <w:kern w:val="0"/>
                <w:sz w:val="21"/>
                <w:szCs w:val="21"/>
                <w:highlight w:val="none"/>
                <w:lang w:eastAsia="zh-Hans" w:bidi="ar-SA"/>
              </w:rPr>
              <w:t>2、</w:t>
            </w:r>
            <w:r>
              <w:rPr>
                <w:rFonts w:hint="eastAsia" w:ascii="宋体" w:hAnsi="宋体" w:eastAsia="宋体" w:cs="宋体"/>
                <w:spacing w:val="-3"/>
                <w:kern w:val="0"/>
                <w:sz w:val="21"/>
                <w:szCs w:val="21"/>
                <w:highlight w:val="none"/>
                <w:lang w:val="en-US" w:eastAsia="zh-Hans" w:bidi="ar-SA"/>
              </w:rPr>
              <w:t>其中</w:t>
            </w:r>
            <w:r>
              <w:rPr>
                <w:rFonts w:hint="eastAsia" w:ascii="宋体" w:hAnsi="宋体" w:eastAsia="宋体" w:cs="宋体"/>
                <w:spacing w:val="-3"/>
                <w:kern w:val="0"/>
                <w:sz w:val="21"/>
                <w:szCs w:val="21"/>
                <w:highlight w:val="none"/>
                <w:lang w:val="en-US" w:eastAsia="zh-CN" w:bidi="ar-SA"/>
              </w:rPr>
              <w:t>“</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”号标识的条款，为重要技术参数，每有一项不满足或负偏离，扣2分；其他参数（</w:t>
            </w:r>
            <w:r>
              <w:rPr>
                <w:rFonts w:hint="eastAsia" w:ascii="宋体" w:hAnsi="宋体" w:eastAsia="宋体" w:cs="宋体"/>
                <w:spacing w:val="-3"/>
                <w:kern w:val="0"/>
                <w:sz w:val="21"/>
                <w:szCs w:val="21"/>
                <w:highlight w:val="none"/>
                <w:lang w:val="en-US" w:eastAsia="zh-CN"/>
              </w:rPr>
              <w:t>▲</w:t>
            </w:r>
            <w:r>
              <w:rPr>
                <w:rFonts w:hint="eastAsia" w:ascii="宋体" w:hAnsi="宋体" w:eastAsia="宋体" w:cs="宋体"/>
                <w:spacing w:val="-3"/>
                <w:kern w:val="0"/>
                <w:sz w:val="21"/>
                <w:szCs w:val="21"/>
                <w:highlight w:val="none"/>
                <w:lang w:val="en-US" w:eastAsia="zh-CN" w:bidi="ar-SA"/>
              </w:rPr>
              <w:t>号以外），每有一项不满足或负偏离，扣0.4分，扣完为止。（上述参数中要求提供佐证材料的，应按要求提供相应的佐证材料，不提供不得分。未要求投标人提供佐证材料的，以投标人应答为准。）</w:t>
            </w:r>
          </w:p>
        </w:tc>
        <w:tc>
          <w:tcPr>
            <w:tcW w:w="434" w:type="pct"/>
            <w:noWrap w:val="0"/>
            <w:vAlign w:val="center"/>
          </w:tcPr>
          <w:p w14:paraId="5C411EB6">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eastAsia="zh-Hans" w:bidi="ar-SA"/>
              </w:rPr>
            </w:pPr>
          </w:p>
        </w:tc>
      </w:tr>
      <w:tr w14:paraId="17A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434" w:type="pct"/>
            <w:noWrap w:val="0"/>
            <w:vAlign w:val="center"/>
          </w:tcPr>
          <w:p w14:paraId="61B3A3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8" w:type="pct"/>
            <w:noWrap w:val="0"/>
            <w:vAlign w:val="center"/>
          </w:tcPr>
          <w:p w14:paraId="62D9E8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综合实力</w:t>
            </w:r>
            <w:r>
              <w:rPr>
                <w:rFonts w:hint="eastAsia" w:ascii="宋体" w:hAnsi="宋体" w:eastAsia="宋体" w:cs="宋体"/>
                <w:color w:val="auto"/>
                <w:sz w:val="21"/>
                <w:szCs w:val="21"/>
                <w:highlight w:val="none"/>
                <w:lang w:val="en-US" w:eastAsia="zh-CN"/>
              </w:rPr>
              <w:t>10%</w:t>
            </w:r>
          </w:p>
        </w:tc>
        <w:tc>
          <w:tcPr>
            <w:tcW w:w="366" w:type="pct"/>
            <w:noWrap w:val="0"/>
            <w:vAlign w:val="center"/>
          </w:tcPr>
          <w:p w14:paraId="786B2D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p>
        </w:tc>
        <w:tc>
          <w:tcPr>
            <w:tcW w:w="2996" w:type="pct"/>
            <w:noWrap w:val="0"/>
            <w:vAlign w:val="center"/>
          </w:tcPr>
          <w:p w14:paraId="6D8FC87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3"/>
                <w:kern w:val="0"/>
                <w:sz w:val="21"/>
                <w:szCs w:val="21"/>
                <w:highlight w:val="none"/>
                <w:lang w:val="en-AU" w:eastAsia="zh-Hans" w:bidi="ar-SA"/>
              </w:rPr>
            </w:pPr>
            <w:r>
              <w:rPr>
                <w:rFonts w:hint="eastAsia" w:ascii="宋体" w:hAnsi="宋体" w:eastAsia="宋体" w:cs="宋体"/>
                <w:color w:val="auto"/>
                <w:spacing w:val="-3"/>
                <w:kern w:val="0"/>
                <w:sz w:val="21"/>
                <w:szCs w:val="21"/>
                <w:highlight w:val="none"/>
                <w:lang w:eastAsia="zh-CN" w:bidi="ar-SA"/>
              </w:rPr>
              <w:t>1、</w:t>
            </w:r>
            <w:r>
              <w:rPr>
                <w:rFonts w:hint="eastAsia" w:ascii="宋体" w:hAnsi="宋体" w:eastAsia="宋体" w:cs="宋体"/>
                <w:color w:val="auto"/>
                <w:spacing w:val="-3"/>
                <w:kern w:val="0"/>
                <w:sz w:val="21"/>
                <w:szCs w:val="21"/>
                <w:highlight w:val="none"/>
                <w:lang w:val="en-US" w:eastAsia="zh-CN" w:bidi="ar-SA"/>
              </w:rPr>
              <w:t>确保产品开发质量，要求投标人或所投产品生产厂家拥有：高级软件工程师、高级WEB开发工程师、BIM高级工程师、高级软件测试工程师、高级装配式工程师、建筑工程中级工程师，</w:t>
            </w:r>
            <w:r>
              <w:rPr>
                <w:rFonts w:hint="eastAsia" w:ascii="宋体" w:hAnsi="宋体" w:eastAsia="宋体" w:cs="宋体"/>
                <w:color w:val="000000" w:themeColor="text1"/>
                <w:spacing w:val="-3"/>
                <w:kern w:val="0"/>
                <w:sz w:val="21"/>
                <w:szCs w:val="21"/>
                <w:highlight w:val="none"/>
                <w:lang w:val="en-US" w:eastAsia="zh-CN" w:bidi="ar-SA"/>
                <w14:textFill>
                  <w14:solidFill>
                    <w14:schemeClr w14:val="tx1"/>
                  </w14:solidFill>
                </w14:textFill>
              </w:rPr>
              <w:t>以上每有一项的得2分，本项最高得8分。投标人须提供对应证书复印件，并加盖投标人公章。不提供或提供不全不得分。</w:t>
            </w:r>
          </w:p>
          <w:p w14:paraId="5A32E40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3"/>
                <w:kern w:val="0"/>
                <w:sz w:val="21"/>
                <w:szCs w:val="21"/>
                <w:highlight w:val="none"/>
                <w:lang w:val="en-US" w:eastAsia="zh-Hans" w:bidi="ar-SA"/>
              </w:rPr>
            </w:pPr>
            <w:r>
              <w:rPr>
                <w:rFonts w:hint="eastAsia" w:ascii="宋体" w:hAnsi="宋体" w:eastAsia="宋体" w:cs="宋体"/>
                <w:snapToGrid w:val="0"/>
                <w:color w:val="auto"/>
                <w:spacing w:val="-3"/>
                <w:kern w:val="0"/>
                <w:sz w:val="21"/>
                <w:szCs w:val="21"/>
                <w:lang w:val="en-US" w:eastAsia="zh-CN" w:bidi="ar-SA"/>
              </w:rPr>
              <w:t>2</w:t>
            </w:r>
            <w:r>
              <w:rPr>
                <w:rFonts w:hint="eastAsia" w:ascii="宋体" w:hAnsi="宋体" w:eastAsia="宋体" w:cs="宋体"/>
                <w:snapToGrid w:val="0"/>
                <w:color w:val="auto"/>
                <w:spacing w:val="-3"/>
                <w:kern w:val="0"/>
                <w:sz w:val="21"/>
                <w:szCs w:val="21"/>
                <w:lang w:val="en-US" w:eastAsia="zh-Hans" w:bidi="ar-SA"/>
              </w:rPr>
              <w:t>、</w:t>
            </w:r>
            <w:r>
              <w:rPr>
                <w:rFonts w:hint="eastAsia" w:ascii="宋体" w:hAnsi="宋体" w:eastAsia="宋体" w:cs="宋体"/>
                <w:color w:val="auto"/>
                <w:spacing w:val="-3"/>
                <w:kern w:val="0"/>
                <w:sz w:val="21"/>
                <w:szCs w:val="21"/>
                <w:highlight w:val="none"/>
                <w:lang w:val="en-US" w:eastAsia="zh-CN" w:bidi="ar-SA"/>
              </w:rPr>
              <w:t>确保项目售后的服务和培训质量，要求投标人或所投产品生产厂家拥有教师资格证人员不得少于2名，每有1人得1分，本项最高得2分。投标人须提供对应证书复印件并加盖投标人公章，不提供或提供不全不得分。</w:t>
            </w:r>
          </w:p>
        </w:tc>
        <w:tc>
          <w:tcPr>
            <w:tcW w:w="434" w:type="pct"/>
            <w:noWrap w:val="0"/>
            <w:vAlign w:val="center"/>
          </w:tcPr>
          <w:p w14:paraId="46AB1F2F">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spacing w:val="-3"/>
                <w:kern w:val="0"/>
                <w:sz w:val="21"/>
                <w:szCs w:val="21"/>
                <w:highlight w:val="none"/>
                <w:lang w:val="en-US" w:eastAsia="zh-CN" w:bidi="ar-SA"/>
              </w:rPr>
            </w:pPr>
          </w:p>
        </w:tc>
      </w:tr>
      <w:tr w14:paraId="0C11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34" w:type="pct"/>
            <w:noWrap w:val="0"/>
            <w:vAlign w:val="center"/>
          </w:tcPr>
          <w:p w14:paraId="1A159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68" w:type="pct"/>
            <w:noWrap w:val="0"/>
            <w:vAlign w:val="center"/>
          </w:tcPr>
          <w:p w14:paraId="6F0F68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val="en-US" w:eastAsia="zh-Hans"/>
              </w:rPr>
              <w:t>业绩</w:t>
            </w:r>
            <w:r>
              <w:rPr>
                <w:rFonts w:hint="eastAsia" w:ascii="宋体" w:hAnsi="宋体" w:eastAsia="宋体" w:cs="宋体"/>
                <w:sz w:val="21"/>
                <w:szCs w:val="21"/>
                <w:lang w:eastAsia="zh-Hans"/>
              </w:rPr>
              <w:t>10%</w:t>
            </w:r>
          </w:p>
        </w:tc>
        <w:tc>
          <w:tcPr>
            <w:tcW w:w="366" w:type="pct"/>
            <w:noWrap w:val="0"/>
            <w:vAlign w:val="center"/>
          </w:tcPr>
          <w:p w14:paraId="3AB419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c>
          <w:tcPr>
            <w:tcW w:w="2996" w:type="pct"/>
            <w:noWrap w:val="0"/>
            <w:vAlign w:val="center"/>
          </w:tcPr>
          <w:p w14:paraId="5C0B2C0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sz w:val="21"/>
                <w:szCs w:val="21"/>
                <w:lang w:val="en-US" w:eastAsia="zh-CN"/>
              </w:rPr>
              <w:t>提</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2021年1月1日（含）至投标截止日具有</w:t>
            </w:r>
            <w:r>
              <w:rPr>
                <w:rFonts w:hint="eastAsia" w:ascii="宋体" w:hAnsi="宋体" w:eastAsia="宋体" w:cs="宋体"/>
                <w:color w:val="auto"/>
                <w:sz w:val="21"/>
                <w:szCs w:val="21"/>
                <w:highlight w:val="none"/>
                <w:lang w:val="en-US" w:eastAsia="zh-CN"/>
              </w:rPr>
              <w:t>路桥工程施工仿真</w:t>
            </w:r>
            <w:r>
              <w:rPr>
                <w:rFonts w:hint="eastAsia" w:ascii="宋体" w:hAnsi="宋体" w:eastAsia="宋体" w:cs="宋体"/>
                <w:color w:val="auto"/>
                <w:sz w:val="21"/>
                <w:szCs w:val="21"/>
                <w:highlight w:val="none"/>
              </w:rPr>
              <w:t>类似项目业绩，每有1项得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8F93CEF">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eastAsia="zh-Hans" w:bidi="ar-SA"/>
              </w:rPr>
              <w:t>（</w:t>
            </w:r>
            <w:r>
              <w:rPr>
                <w:rFonts w:hint="eastAsia" w:ascii="宋体" w:hAnsi="宋体" w:eastAsia="宋体" w:cs="宋体"/>
                <w:color w:val="auto"/>
                <w:spacing w:val="-3"/>
                <w:kern w:val="0"/>
                <w:sz w:val="21"/>
                <w:szCs w:val="21"/>
                <w:highlight w:val="none"/>
                <w:lang w:val="en-US" w:eastAsia="zh-CN" w:bidi="ar-SA"/>
              </w:rPr>
              <w:t>注：</w:t>
            </w:r>
            <w:r>
              <w:rPr>
                <w:rFonts w:hint="eastAsia" w:ascii="宋体" w:hAnsi="宋体" w:eastAsia="宋体" w:cs="宋体"/>
                <w:b/>
                <w:bCs/>
                <w:color w:val="auto"/>
                <w:sz w:val="21"/>
                <w:szCs w:val="21"/>
                <w:highlight w:val="none"/>
              </w:rPr>
              <w:t>时间以合同签订日期为准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pacing w:val="-3"/>
                <w:kern w:val="0"/>
                <w:sz w:val="21"/>
                <w:szCs w:val="21"/>
                <w:highlight w:val="none"/>
                <w:lang w:val="en-US" w:eastAsia="zh-Hans" w:bidi="ar-SA"/>
              </w:rPr>
              <w:t>提供合同复印件并加盖公章</w:t>
            </w:r>
            <w:r>
              <w:rPr>
                <w:rFonts w:hint="eastAsia" w:ascii="宋体" w:hAnsi="宋体" w:eastAsia="宋体" w:cs="宋体"/>
                <w:color w:val="auto"/>
                <w:spacing w:val="-3"/>
                <w:kern w:val="0"/>
                <w:sz w:val="21"/>
                <w:szCs w:val="21"/>
                <w:highlight w:val="none"/>
                <w:lang w:val="en-US" w:eastAsia="zh-CN" w:bidi="ar-SA"/>
              </w:rPr>
              <w:t>，否则不得分</w:t>
            </w:r>
            <w:r>
              <w:rPr>
                <w:rFonts w:hint="eastAsia" w:ascii="宋体" w:hAnsi="宋体" w:eastAsia="宋体" w:cs="宋体"/>
                <w:color w:val="auto"/>
                <w:spacing w:val="-3"/>
                <w:kern w:val="0"/>
                <w:sz w:val="21"/>
                <w:szCs w:val="21"/>
                <w:highlight w:val="none"/>
                <w:lang w:eastAsia="zh-Hans" w:bidi="ar-SA"/>
              </w:rPr>
              <w:t>）</w:t>
            </w:r>
          </w:p>
        </w:tc>
        <w:tc>
          <w:tcPr>
            <w:tcW w:w="434" w:type="pct"/>
            <w:noWrap w:val="0"/>
            <w:vAlign w:val="center"/>
          </w:tcPr>
          <w:p w14:paraId="79C3DEB5">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pacing w:val="-3"/>
                <w:kern w:val="0"/>
                <w:sz w:val="21"/>
                <w:szCs w:val="21"/>
                <w:highlight w:val="none"/>
                <w:lang w:val="en-US" w:eastAsia="zh-Hans" w:bidi="ar-SA"/>
              </w:rPr>
            </w:pPr>
          </w:p>
        </w:tc>
      </w:tr>
      <w:tr w14:paraId="499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34" w:type="pct"/>
            <w:noWrap w:val="0"/>
            <w:vAlign w:val="center"/>
          </w:tcPr>
          <w:p w14:paraId="6190F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8" w:type="pct"/>
            <w:noWrap w:val="0"/>
            <w:vAlign w:val="center"/>
          </w:tcPr>
          <w:p w14:paraId="15253A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lang w:val="en-US" w:eastAsia="zh-Hans"/>
              </w:rPr>
              <w:t>实施方案及</w:t>
            </w:r>
            <w:r>
              <w:rPr>
                <w:rFonts w:hint="eastAsia" w:ascii="宋体" w:hAnsi="宋体" w:eastAsia="宋体" w:cs="宋体"/>
                <w:color w:val="auto"/>
                <w:sz w:val="21"/>
                <w:szCs w:val="21"/>
                <w:lang w:val="en-US" w:eastAsia="zh-CN"/>
              </w:rPr>
              <w:t>售</w:t>
            </w:r>
            <w:r>
              <w:rPr>
                <w:rFonts w:hint="eastAsia" w:ascii="宋体" w:hAnsi="宋体" w:eastAsia="宋体" w:cs="宋体"/>
                <w:color w:val="auto"/>
                <w:sz w:val="21"/>
                <w:szCs w:val="21"/>
                <w:lang w:val="en-US" w:eastAsia="zh-Hans"/>
              </w:rPr>
              <w:t>后方案</w:t>
            </w:r>
            <w:r>
              <w:rPr>
                <w:rFonts w:hint="eastAsia" w:ascii="宋体" w:hAnsi="宋体" w:eastAsia="宋体" w:cs="宋体"/>
                <w:color w:val="auto"/>
                <w:sz w:val="21"/>
                <w:szCs w:val="21"/>
                <w:lang w:val="en-US" w:eastAsia="zh-CN"/>
              </w:rPr>
              <w:t>10%</w:t>
            </w:r>
          </w:p>
        </w:tc>
        <w:tc>
          <w:tcPr>
            <w:tcW w:w="366" w:type="pct"/>
            <w:noWrap w:val="0"/>
            <w:vAlign w:val="center"/>
          </w:tcPr>
          <w:p w14:paraId="48476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996" w:type="pct"/>
            <w:noWrap w:val="0"/>
            <w:vAlign w:val="center"/>
          </w:tcPr>
          <w:p w14:paraId="5337AA0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Hans" w:bidi="ar-SA"/>
              </w:rPr>
              <w:t>针对本项目要求，编制完善的实施方案及售后方案，应至少包括（1）项目建设进度计划；（2）项目实施流程安排；（3）项目质量保障措施；（4）项目售后培训目标与计划安排等内容。</w:t>
            </w:r>
            <w:r>
              <w:rPr>
                <w:rFonts w:hint="eastAsia" w:ascii="宋体" w:hAnsi="宋体" w:eastAsia="宋体" w:cs="宋体"/>
                <w:color w:val="auto"/>
                <w:spacing w:val="-3"/>
                <w:kern w:val="0"/>
                <w:sz w:val="21"/>
                <w:szCs w:val="21"/>
                <w:highlight w:val="none"/>
                <w:lang w:val="en-US" w:eastAsia="zh-CN" w:bidi="ar-SA"/>
              </w:rPr>
              <w:t>方案完全满足招标人要求的得10分；以上要素每有一项缺失扣2.5分，每有1项有缺陷或不满足项目实际需求的扣1.25分。</w:t>
            </w:r>
          </w:p>
          <w:p w14:paraId="3C0C7291">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eastAsia="zh-CN"/>
              </w:rPr>
              <w:t>（</w:t>
            </w:r>
            <w:r>
              <w:rPr>
                <w:rFonts w:hint="eastAsia" w:ascii="宋体" w:hAnsi="宋体" w:eastAsia="宋体" w:cs="宋体"/>
                <w:color w:val="auto"/>
                <w:spacing w:val="-3"/>
                <w:kern w:val="0"/>
                <w:sz w:val="21"/>
                <w:szCs w:val="21"/>
                <w:highlight w:val="none"/>
              </w:rPr>
              <w:t>注：缺陷是指：存在项目名称错误、地点区域错误、内容与本项目需求无关、方案内容矛盾或表述前后不一致、仅有框架或标题、适用的标准（方法）错误、明显复制其他项目内容等任意一种情形。</w:t>
            </w:r>
            <w:r>
              <w:rPr>
                <w:rFonts w:hint="eastAsia" w:ascii="宋体" w:hAnsi="宋体" w:eastAsia="宋体" w:cs="宋体"/>
                <w:color w:val="auto"/>
                <w:spacing w:val="-3"/>
                <w:kern w:val="0"/>
                <w:sz w:val="21"/>
                <w:szCs w:val="21"/>
                <w:highlight w:val="none"/>
                <w:lang w:eastAsia="zh-CN"/>
              </w:rPr>
              <w:t>）</w:t>
            </w:r>
          </w:p>
        </w:tc>
        <w:tc>
          <w:tcPr>
            <w:tcW w:w="434" w:type="pct"/>
            <w:noWrap w:val="0"/>
            <w:vAlign w:val="center"/>
          </w:tcPr>
          <w:p w14:paraId="5D31310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pacing w:val="-3"/>
                <w:kern w:val="0"/>
                <w:sz w:val="21"/>
                <w:szCs w:val="21"/>
                <w:highlight w:val="none"/>
                <w:lang w:val="en-US" w:eastAsia="zh-Hans" w:bidi="ar-SA"/>
              </w:rPr>
            </w:pPr>
          </w:p>
        </w:tc>
      </w:tr>
    </w:tbl>
    <w:p w14:paraId="0AAF4827">
      <w:pPr>
        <w:spacing w:line="240" w:lineRule="auto"/>
        <w:ind w:firstLine="0" w:firstLineChars="0"/>
        <w:jc w:val="both"/>
        <w:rPr>
          <w:rFonts w:ascii="宋体" w:hAnsi="宋体" w:eastAsia="宋体" w:cs="宋体"/>
          <w:b/>
          <w:bCs/>
          <w:color w:val="auto"/>
          <w:spacing w:val="6"/>
          <w:sz w:val="28"/>
          <w:szCs w:val="28"/>
          <w:highlight w:val="none"/>
        </w:rPr>
      </w:pPr>
    </w:p>
    <w:bookmarkEnd w:id="184"/>
    <w:p w14:paraId="59EA362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评分分值四舍五入，保留小数点后 2 位。</w:t>
      </w:r>
    </w:p>
    <w:p w14:paraId="30306797">
      <w:pPr>
        <w:spacing w:line="240" w:lineRule="auto"/>
        <w:ind w:firstLine="482" w:firstLineChars="200"/>
        <w:outlineLvl w:val="1"/>
        <w:rPr>
          <w:rFonts w:ascii="宋体" w:hAnsi="宋体" w:eastAsia="宋体" w:cs="宋体"/>
          <w:b/>
          <w:bCs/>
          <w:color w:val="auto"/>
          <w:sz w:val="24"/>
          <w:szCs w:val="24"/>
          <w:highlight w:val="none"/>
        </w:rPr>
      </w:pPr>
      <w:bookmarkStart w:id="185" w:name="_Toc32706"/>
      <w:bookmarkStart w:id="186" w:name="_Toc21587"/>
      <w:bookmarkStart w:id="187" w:name="_Toc20800"/>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废 标</w:t>
      </w:r>
      <w:bookmarkEnd w:id="185"/>
      <w:bookmarkEnd w:id="186"/>
      <w:bookmarkEnd w:id="187"/>
    </w:p>
    <w:p w14:paraId="66EDC4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 本次采购活动中，出现下列情形之一的，予以废标：</w:t>
      </w:r>
    </w:p>
    <w:p w14:paraId="4CC9734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4.1.1 符合专业条件的投标人或者对招标文件作实质响应的投标人不足三家的；</w:t>
      </w:r>
    </w:p>
    <w:p w14:paraId="3BF8000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4.1.2 出现影响采购公正的违法、违规行为的；</w:t>
      </w:r>
    </w:p>
    <w:p w14:paraId="217B8D6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4.1.3 投标人的报价均超过了采购预算，招标人不能支付的；</w:t>
      </w:r>
    </w:p>
    <w:p w14:paraId="21965EA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4.1.4 因重大变故，采购任务取消的。</w:t>
      </w:r>
    </w:p>
    <w:p w14:paraId="6C4F3B6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废标后，招标代理机构应在中国招标投标公共服务平台（http://www.cebpubservice.com/）上公告，并公告废标的情形。投标人需要知晓导致废标情形的具体原因和理由的，可以通过书面形式询问招标采购单位。</w:t>
      </w:r>
    </w:p>
    <w:p w14:paraId="43F60A2D">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4.2 对于评标过程中废标的采购项目，评标委员会应当对招标文件是否存在倾向性和歧视性、是否存在不合理条款进行论证，并出具书面论证意见。</w:t>
      </w:r>
    </w:p>
    <w:p w14:paraId="2BCBBB3C">
      <w:pPr>
        <w:spacing w:line="240" w:lineRule="auto"/>
        <w:ind w:firstLine="482" w:firstLineChars="200"/>
        <w:outlineLvl w:val="1"/>
        <w:rPr>
          <w:rFonts w:ascii="宋体" w:hAnsi="宋体" w:eastAsia="宋体" w:cs="宋体"/>
          <w:b/>
          <w:bCs/>
          <w:color w:val="auto"/>
          <w:sz w:val="24"/>
          <w:szCs w:val="24"/>
          <w:highlight w:val="none"/>
        </w:rPr>
      </w:pPr>
      <w:bookmarkStart w:id="188" w:name="_Toc32237"/>
      <w:bookmarkStart w:id="189" w:name="_Toc31158"/>
      <w:bookmarkStart w:id="190" w:name="_Toc20868"/>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定标</w:t>
      </w:r>
      <w:bookmarkEnd w:id="188"/>
      <w:bookmarkEnd w:id="189"/>
      <w:bookmarkEnd w:id="190"/>
    </w:p>
    <w:p w14:paraId="5757E02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 定标原则：</w:t>
      </w:r>
    </w:p>
    <w:p w14:paraId="0CA2B811">
      <w:pPr>
        <w:spacing w:line="240" w:lineRule="auto"/>
        <w:ind w:left="479" w:leftChars="228"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方式一：招标人将按评标委员会推荐的中标候选人名单，按顺序确定中标人。方式二：招标人授权评标委员会直接确定中标人。</w:t>
      </w:r>
    </w:p>
    <w:p w14:paraId="102A5FE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定标原则：本项目采用</w:t>
      </w:r>
      <w:r>
        <w:rPr>
          <w:rFonts w:hint="eastAsia" w:ascii="宋体" w:hAnsi="宋体" w:eastAsia="宋体" w:cs="宋体"/>
          <w:b/>
          <w:bCs/>
          <w:color w:val="auto"/>
          <w:spacing w:val="6"/>
          <w:sz w:val="24"/>
          <w:szCs w:val="24"/>
          <w:highlight w:val="none"/>
          <w:u w:val="single"/>
        </w:rPr>
        <w:t>方式一</w:t>
      </w:r>
      <w:r>
        <w:rPr>
          <w:rFonts w:hint="eastAsia" w:ascii="宋体" w:hAnsi="宋体" w:eastAsia="宋体" w:cs="宋体"/>
          <w:color w:val="auto"/>
          <w:spacing w:val="6"/>
          <w:sz w:val="24"/>
          <w:szCs w:val="24"/>
          <w:highlight w:val="none"/>
        </w:rPr>
        <w:t>确定中标人。</w:t>
      </w:r>
    </w:p>
    <w:p w14:paraId="16FACC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 定标程序</w:t>
      </w:r>
    </w:p>
    <w:p w14:paraId="51380B0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5.2.1 评标委员会将评标情况写出书面报告，推荐三名中标候选人。</w:t>
      </w:r>
    </w:p>
    <w:p w14:paraId="6DF5796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5.2.2 招标代理机构在评标结束后2个工作日内将评标报告送招标人。</w:t>
      </w:r>
    </w:p>
    <w:p w14:paraId="2EC5D00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5.2.3 招标人在收到评标报告后5个工作日内按照评标报告中推荐的中标候选人顺序确定中标人。</w:t>
      </w:r>
    </w:p>
    <w:p w14:paraId="7DFAA83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报价相同且满足招标文件全部实质性要求且按照评审因素的量化指标评审得分也相同的并列，优先选择不发达地区或少数民族地区或脱贫攻坚地区的投标人；报价相同且满足招标文件全部实质性要求且按照评审因素的量化指标评审得分也相同无投标人属于不发达地区或少数民族地区或脱贫攻坚地区的或投标人均属于不发达地区或少数民族地区或脱贫攻坚地区的并列，由招标人自主采取公平、择优的方式选择中标候选人。(不发达地区或脱贫攻坚地区的投标人需提供属于不发达地区或脱贫攻坚的相关证明材料，少数民族地区提供相关证明材料或投标人注册地为少数民族地区。)</w:t>
      </w:r>
    </w:p>
    <w:p w14:paraId="7B6AADC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注意，招标人按照推荐的中标候选人顺序确定中标人，不能认为招标人只能确定第一中标候选人为中标人，招标人有正当理由的，可以确定后一顺序中标候选人为中标人，</w:t>
      </w:r>
      <w:r>
        <w:rPr>
          <w:rFonts w:hint="eastAsia" w:ascii="宋体" w:hAnsi="宋体" w:eastAsia="宋体" w:cs="宋体"/>
          <w:b/>
          <w:bCs/>
          <w:color w:val="auto"/>
          <w:sz w:val="24"/>
          <w:szCs w:val="24"/>
          <w:highlight w:val="none"/>
          <w:lang w:eastAsia="zh-CN"/>
        </w:rPr>
        <w:t>依此类推</w:t>
      </w:r>
      <w:r>
        <w:rPr>
          <w:rFonts w:hint="eastAsia" w:ascii="宋体" w:hAnsi="宋体" w:eastAsia="宋体" w:cs="宋体"/>
          <w:b/>
          <w:bCs/>
          <w:color w:val="auto"/>
          <w:sz w:val="24"/>
          <w:szCs w:val="24"/>
          <w:highlight w:val="none"/>
        </w:rPr>
        <w:t>。</w:t>
      </w:r>
    </w:p>
    <w:p w14:paraId="04FE8E94">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招标人在收到评审报告之日起5个工作日内未按评标报告推荐的中标候选人顺序确定中标人，又不能说明合法理由的，视同按评审报告推荐的顺序确定排名第一的中标候选人为中标人。</w:t>
      </w:r>
    </w:p>
    <w:p w14:paraId="044999B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5.2.4 招标代理机构自中标人确定之日起2个工作日内，在中国招标投标公共服务平台（http://www.cebpubservice.com/）上公告中标结果。</w:t>
      </w:r>
    </w:p>
    <w:p w14:paraId="09B3A6C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5.2.5 招标采购单位不退回投标人投标文件和其他投标资料。</w:t>
      </w:r>
    </w:p>
    <w:p w14:paraId="29D5E506">
      <w:pPr>
        <w:spacing w:line="240" w:lineRule="auto"/>
        <w:ind w:firstLine="482" w:firstLineChars="200"/>
        <w:outlineLvl w:val="1"/>
        <w:rPr>
          <w:rFonts w:ascii="宋体" w:hAnsi="宋体" w:eastAsia="宋体" w:cs="宋体"/>
          <w:b/>
          <w:bCs/>
          <w:color w:val="auto"/>
          <w:sz w:val="24"/>
          <w:szCs w:val="24"/>
          <w:highlight w:val="none"/>
        </w:rPr>
      </w:pPr>
      <w:bookmarkStart w:id="191" w:name="_Toc29395"/>
      <w:bookmarkStart w:id="192" w:name="_Toc31384"/>
      <w:bookmarkStart w:id="193" w:name="_Toc30005"/>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评标专家在采购活动中承担以下义务：</w:t>
      </w:r>
      <w:bookmarkEnd w:id="191"/>
      <w:bookmarkEnd w:id="192"/>
      <w:bookmarkEnd w:id="193"/>
    </w:p>
    <w:p w14:paraId="053125D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6.1 遵守评审工作纪律；</w:t>
      </w:r>
    </w:p>
    <w:p w14:paraId="100D21B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 按照客观、公正、审慎的原则，根据采购文件规定的评审程序、评审方法和评审标准进行独立评审；</w:t>
      </w:r>
    </w:p>
    <w:p w14:paraId="0B54820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 不得泄露评审文件、评审情况和在评审过程中获悉的商业秘密；</w:t>
      </w:r>
    </w:p>
    <w:p w14:paraId="6E6C218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 及时向监督部门报告评审过程中采购组织单位向评审专家做倾向性、误导性的解释或者说明，供应商行贿、提供虚假材料或者串通、受到的非法干预情况等违法违规行为；</w:t>
      </w:r>
    </w:p>
    <w:p w14:paraId="4B7E4B2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发现采购文件内容违反国家有关强制性规定或者存在歧义、重大缺陷导致评审工作无法进行时，停止评审并向采购组织单位书面说明情况；</w:t>
      </w:r>
    </w:p>
    <w:p w14:paraId="60F584D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6.6 配合答复处理供应商的询问、质疑和投诉等事项；</w:t>
      </w:r>
    </w:p>
    <w:p w14:paraId="10A45F3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6.7 法律、法规和规章规定的其他义务。</w:t>
      </w:r>
    </w:p>
    <w:p w14:paraId="3119FD26">
      <w:pPr>
        <w:spacing w:line="240" w:lineRule="auto"/>
        <w:ind w:firstLine="482" w:firstLineChars="200"/>
        <w:outlineLvl w:val="1"/>
        <w:rPr>
          <w:rFonts w:ascii="宋体" w:hAnsi="宋体" w:eastAsia="宋体" w:cs="宋体"/>
          <w:b/>
          <w:bCs/>
          <w:color w:val="auto"/>
          <w:sz w:val="24"/>
          <w:szCs w:val="24"/>
          <w:highlight w:val="none"/>
        </w:rPr>
      </w:pPr>
      <w:bookmarkStart w:id="194" w:name="_Toc5511"/>
      <w:bookmarkStart w:id="195" w:name="_Toc2497"/>
      <w:bookmarkStart w:id="196" w:name="_Toc13558"/>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评标专家在采购活动中应当遵守以下工作纪律：</w:t>
      </w:r>
      <w:bookmarkEnd w:id="194"/>
      <w:bookmarkEnd w:id="195"/>
      <w:bookmarkEnd w:id="196"/>
    </w:p>
    <w:p w14:paraId="5D41A82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 遵行《中华人民共和国政府采购法》第十二条和《中华人民共和国政府采购法实施条例》第九条及财政部关于回避的规定。</w:t>
      </w:r>
    </w:p>
    <w:p w14:paraId="58F45DD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7.2 评标前，应当将通讯工具或者相关电子设备交由招标采购单位统一保管。</w:t>
      </w:r>
    </w:p>
    <w:p w14:paraId="19F5076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7.3 评标过程中，不得与外界联系，因发生不可预见情况，确实需要与外界联系的，应当在监督人员监督之下办理。</w:t>
      </w:r>
    </w:p>
    <w:p w14:paraId="6E26201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7.4 评标过程中，不得干预或者影响正常评标工作，不得发表倾向性、引导性意见，不得修改或细化招标文件确定的评标程序、评标方法、评标因素和评标标准，不得接受供应商主动提出的澄清和解释，不得征询招标人代表的意见，不得协商评分，不得违反规定的评标格式评分和撰写评标意见，不得拒绝对自己的 评标意见签字确认。</w:t>
      </w:r>
    </w:p>
    <w:p w14:paraId="0A8A87F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7.5 在评标过程中和评标结束后，不得记录、复制或带走任何评标资料，除因规定的义务外，不得向外界透露评标内容。</w:t>
      </w:r>
    </w:p>
    <w:p w14:paraId="4C5286B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7.6 服从评标现场招标采购单位的现场秩序管理，接受评标现场监督人员的合法监督。</w:t>
      </w:r>
    </w:p>
    <w:p w14:paraId="76DBE82A">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7.7 遵守有关廉洁自律规定，不得私下接触供应商，不得收受供应商及有关业务单位和个人的财物或好处，不得接受采购组织单位的请托。</w:t>
      </w:r>
    </w:p>
    <w:p w14:paraId="0FDEA2E5">
      <w:pPr>
        <w:pStyle w:val="15"/>
        <w:spacing w:line="240" w:lineRule="auto"/>
        <w:rPr>
          <w:rFonts w:ascii="宋体" w:hAnsi="宋体" w:eastAsia="宋体" w:cs="宋体"/>
          <w:color w:val="auto"/>
          <w:spacing w:val="6"/>
          <w:sz w:val="23"/>
          <w:szCs w:val="23"/>
          <w:highlight w:val="none"/>
        </w:rPr>
      </w:pPr>
    </w:p>
    <w:p w14:paraId="241157E1">
      <w:pPr>
        <w:pStyle w:val="15"/>
        <w:spacing w:line="240" w:lineRule="auto"/>
        <w:rPr>
          <w:rFonts w:ascii="宋体" w:hAnsi="宋体" w:eastAsia="宋体" w:cs="宋体"/>
          <w:color w:val="auto"/>
          <w:spacing w:val="6"/>
          <w:sz w:val="23"/>
          <w:szCs w:val="23"/>
          <w:highlight w:val="none"/>
        </w:rPr>
      </w:pPr>
    </w:p>
    <w:p w14:paraId="5594705C">
      <w:pPr>
        <w:pStyle w:val="15"/>
        <w:spacing w:line="240" w:lineRule="auto"/>
        <w:rPr>
          <w:rFonts w:ascii="宋体" w:hAnsi="宋体" w:eastAsia="宋体" w:cs="宋体"/>
          <w:color w:val="auto"/>
          <w:spacing w:val="6"/>
          <w:sz w:val="23"/>
          <w:szCs w:val="23"/>
          <w:highlight w:val="none"/>
        </w:rPr>
      </w:pPr>
    </w:p>
    <w:p w14:paraId="299CA68C">
      <w:pPr>
        <w:pStyle w:val="15"/>
        <w:spacing w:line="240" w:lineRule="auto"/>
        <w:rPr>
          <w:rFonts w:ascii="宋体" w:hAnsi="宋体" w:eastAsia="宋体" w:cs="宋体"/>
          <w:color w:val="auto"/>
          <w:spacing w:val="6"/>
          <w:sz w:val="23"/>
          <w:szCs w:val="23"/>
          <w:highlight w:val="none"/>
        </w:rPr>
      </w:pPr>
    </w:p>
    <w:p w14:paraId="170D8B80">
      <w:pPr>
        <w:pStyle w:val="15"/>
        <w:spacing w:line="240" w:lineRule="auto"/>
        <w:rPr>
          <w:rFonts w:ascii="宋体" w:hAnsi="宋体" w:eastAsia="宋体" w:cs="宋体"/>
          <w:color w:val="auto"/>
          <w:spacing w:val="6"/>
          <w:sz w:val="23"/>
          <w:szCs w:val="23"/>
          <w:highlight w:val="none"/>
        </w:rPr>
      </w:pPr>
    </w:p>
    <w:p w14:paraId="72B4C29E">
      <w:pPr>
        <w:spacing w:line="240" w:lineRule="auto"/>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br w:type="page"/>
      </w:r>
    </w:p>
    <w:p w14:paraId="57153718">
      <w:pPr>
        <w:spacing w:line="240" w:lineRule="auto"/>
        <w:rPr>
          <w:color w:val="auto"/>
          <w:highlight w:val="none"/>
        </w:rPr>
        <w:sectPr>
          <w:headerReference r:id="rId44" w:type="default"/>
          <w:footerReference r:id="rId45" w:type="default"/>
          <w:pgSz w:w="11905" w:h="16838"/>
          <w:pgMar w:top="1417" w:right="1417" w:bottom="1417" w:left="1417" w:header="0" w:footer="1134" w:gutter="0"/>
          <w:pgNumType w:fmt="decimal"/>
          <w:cols w:space="0" w:num="1"/>
        </w:sectPr>
      </w:pPr>
    </w:p>
    <w:p w14:paraId="72922413">
      <w:pPr>
        <w:spacing w:line="240" w:lineRule="auto"/>
        <w:rPr>
          <w:color w:val="auto"/>
          <w:highlight w:val="none"/>
        </w:rPr>
      </w:pPr>
    </w:p>
    <w:p w14:paraId="23B21676">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97" w:name="_Toc28315"/>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第八章  合同主要条款</w:t>
      </w:r>
      <w:bookmarkEnd w:id="197"/>
    </w:p>
    <w:p w14:paraId="5D437822">
      <w:pPr>
        <w:spacing w:line="240" w:lineRule="auto"/>
        <w:rPr>
          <w:color w:val="auto"/>
          <w:highlight w:val="none"/>
        </w:rPr>
      </w:pPr>
    </w:p>
    <w:p w14:paraId="1D59F6D2">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kern w:val="2"/>
          <w:sz w:val="28"/>
          <w:szCs w:val="28"/>
          <w:highlight w:val="none"/>
          <w:lang w:eastAsia="zh-CN"/>
        </w:rPr>
      </w:pPr>
      <w:r>
        <w:rPr>
          <w:rFonts w:hint="eastAsia" w:ascii="宋体" w:hAnsi="宋体" w:eastAsia="宋体" w:cs="宋体"/>
          <w:bCs/>
          <w:color w:val="auto"/>
          <w:kern w:val="2"/>
          <w:sz w:val="28"/>
          <w:szCs w:val="28"/>
          <w:highlight w:val="none"/>
          <w:lang w:eastAsia="zh-CN"/>
        </w:rPr>
        <w:t>成都市技师学院（成都工贸职业技术学院）路桥工程施工技术仿真系统采购项目</w:t>
      </w:r>
    </w:p>
    <w:p w14:paraId="63DD2EF9">
      <w:pPr>
        <w:pStyle w:val="37"/>
        <w:pageBreakBefore w:val="0"/>
        <w:widowControl w:val="0"/>
        <w:tabs>
          <w:tab w:val="left" w:pos="0"/>
        </w:tabs>
        <w:kinsoku/>
        <w:overflowPunct/>
        <w:autoSpaceDE/>
        <w:autoSpaceDN/>
        <w:bidi w:val="0"/>
        <w:adjustRightInd w:val="0"/>
        <w:snapToGrid w:val="0"/>
        <w:spacing w:line="240" w:lineRule="auto"/>
        <w:ind w:firstLine="0" w:firstLineChars="0"/>
        <w:jc w:val="center"/>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8"/>
          <w:szCs w:val="28"/>
          <w:highlight w:val="none"/>
          <w:u w:val="none"/>
        </w:rPr>
        <w:t>合同文本主要条款</w:t>
      </w:r>
    </w:p>
    <w:p w14:paraId="48196BEA">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2"/>
          <w:szCs w:val="22"/>
          <w:highlight w:val="none"/>
          <w:lang w:val="en-US" w:eastAsia="zh-CN"/>
        </w:rPr>
      </w:pPr>
    </w:p>
    <w:p w14:paraId="395F77FF">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重要说明：</w:t>
      </w:r>
      <w:r>
        <w:rPr>
          <w:rFonts w:hint="eastAsia" w:ascii="宋体" w:hAnsi="宋体" w:eastAsia="宋体" w:cs="宋体"/>
          <w:b/>
          <w:bCs/>
          <w:color w:val="auto"/>
          <w:sz w:val="24"/>
          <w:szCs w:val="24"/>
          <w:highlight w:val="none"/>
          <w:lang w:val="en-US" w:eastAsia="zh-CN"/>
        </w:rPr>
        <w:t>招标人、中标人</w:t>
      </w:r>
      <w:r>
        <w:rPr>
          <w:rFonts w:hint="eastAsia" w:ascii="宋体" w:hAnsi="宋体" w:eastAsia="宋体" w:cs="宋体"/>
          <w:b/>
          <w:bCs/>
          <w:color w:val="auto"/>
          <w:sz w:val="24"/>
          <w:szCs w:val="24"/>
          <w:highlight w:val="none"/>
        </w:rPr>
        <w:t>在签订</w:t>
      </w:r>
      <w:r>
        <w:rPr>
          <w:rFonts w:hint="eastAsia" w:ascii="宋体" w:hAnsi="宋体" w:eastAsia="宋体" w:cs="宋体"/>
          <w:b/>
          <w:bCs/>
          <w:color w:val="auto"/>
          <w:sz w:val="24"/>
          <w:szCs w:val="24"/>
          <w:highlight w:val="none"/>
          <w:lang w:val="en-US" w:eastAsia="zh-CN"/>
        </w:rPr>
        <w:t>正式</w:t>
      </w:r>
      <w:r>
        <w:rPr>
          <w:rFonts w:hint="eastAsia" w:ascii="宋体" w:hAnsi="宋体" w:eastAsia="宋体" w:cs="宋体"/>
          <w:b/>
          <w:bCs/>
          <w:color w:val="auto"/>
          <w:sz w:val="24"/>
          <w:szCs w:val="24"/>
          <w:highlight w:val="none"/>
        </w:rPr>
        <w:t>合同前</w:t>
      </w:r>
      <w:r>
        <w:rPr>
          <w:rFonts w:hint="eastAsia" w:ascii="宋体" w:hAnsi="宋体" w:eastAsia="宋体" w:cs="宋体"/>
          <w:b/>
          <w:bCs/>
          <w:color w:val="auto"/>
          <w:sz w:val="24"/>
          <w:szCs w:val="24"/>
          <w:highlight w:val="none"/>
          <w:lang w:val="en-US" w:eastAsia="zh-CN"/>
        </w:rPr>
        <w:t>应</w:t>
      </w:r>
      <w:r>
        <w:rPr>
          <w:rFonts w:hint="eastAsia" w:ascii="宋体" w:hAnsi="宋体" w:eastAsia="宋体" w:cs="宋体"/>
          <w:b/>
          <w:bCs/>
          <w:color w:val="auto"/>
          <w:sz w:val="24"/>
          <w:szCs w:val="24"/>
          <w:highlight w:val="none"/>
        </w:rPr>
        <w:t>依据</w:t>
      </w:r>
      <w:r>
        <w:rPr>
          <w:rFonts w:hint="eastAsia" w:ascii="宋体" w:hAnsi="宋体" w:eastAsia="宋体" w:cs="宋体"/>
          <w:b/>
          <w:bCs/>
          <w:color w:val="auto"/>
          <w:sz w:val="24"/>
          <w:szCs w:val="24"/>
          <w:highlight w:val="none"/>
          <w:lang w:val="en-US" w:eastAsia="zh-CN"/>
        </w:rPr>
        <w:t>本项目的招标文件、投标文件、项目的澄清文件等</w:t>
      </w:r>
      <w:r>
        <w:rPr>
          <w:rFonts w:hint="eastAsia" w:ascii="宋体" w:hAnsi="宋体" w:eastAsia="宋体" w:cs="宋体"/>
          <w:b/>
          <w:bCs/>
          <w:color w:val="auto"/>
          <w:sz w:val="24"/>
          <w:szCs w:val="24"/>
          <w:highlight w:val="none"/>
        </w:rPr>
        <w:t>对以下合同内容进行</w:t>
      </w:r>
      <w:r>
        <w:rPr>
          <w:rFonts w:hint="eastAsia" w:ascii="宋体" w:hAnsi="宋体" w:eastAsia="宋体" w:cs="宋体"/>
          <w:b/>
          <w:bCs/>
          <w:color w:val="auto"/>
          <w:sz w:val="24"/>
          <w:szCs w:val="24"/>
          <w:highlight w:val="none"/>
          <w:lang w:val="en-US" w:eastAsia="zh-CN"/>
        </w:rPr>
        <w:t>修正和完善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w:t>
      </w:r>
    </w:p>
    <w:p w14:paraId="4C1FB6E4">
      <w:pPr>
        <w:pStyle w:val="37"/>
        <w:pageBreakBefore w:val="0"/>
        <w:widowControl w:val="0"/>
        <w:tabs>
          <w:tab w:val="left" w:pos="0"/>
        </w:tabs>
        <w:kinsoku/>
        <w:overflowPunct/>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p>
    <w:p w14:paraId="28044CB6">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合同编号：XXXXXX</w:t>
      </w:r>
    </w:p>
    <w:p w14:paraId="120095A1">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签订地点：现场签订</w:t>
      </w:r>
    </w:p>
    <w:p w14:paraId="10D38621">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签订时间：XXX年XX月XXX日</w:t>
      </w:r>
    </w:p>
    <w:p w14:paraId="67DFBB1C">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甲方(招标人)：成都市技师学院（成都工贸职业技术学院）</w:t>
      </w:r>
    </w:p>
    <w:p w14:paraId="1BA0933A">
      <w:pPr>
        <w:keepNext w:val="0"/>
        <w:keepLines w:val="0"/>
        <w:pageBreakBefore w:val="0"/>
        <w:widowControl w:val="0"/>
        <w:kinsoku/>
        <w:wordWrap w:val="0"/>
        <w:overflowPunct/>
        <w:topLine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30"/>
          <w:szCs w:val="30"/>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乙方(中标人)： XXXXXXXX</w:t>
      </w:r>
      <w:r>
        <w:rPr>
          <w:rFonts w:hint="eastAsia" w:ascii="宋体" w:hAnsi="宋体" w:eastAsia="宋体" w:cs="宋体"/>
          <w:b w:val="0"/>
          <w:bCs w:val="0"/>
          <w:snapToGrid/>
          <w:color w:val="auto"/>
          <w:kern w:val="2"/>
          <w:sz w:val="30"/>
          <w:szCs w:val="30"/>
          <w:highlight w:val="none"/>
          <w:lang w:val="en-US" w:eastAsia="zh-CN" w:bidi="ar-SA"/>
        </w:rPr>
        <w:t xml:space="preserve">   </w:t>
      </w:r>
    </w:p>
    <w:p w14:paraId="6046734A">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根据《中华人民共和国民法典》及成都市技师学院（成都工贸职业技术学院）路桥工程施工技术仿真系统采购项目（项目编号：XXX）的招标文件、乙方的投标文件及中标通知书，甲、乙双方同意签订本合同，共同遵守如下条款：</w:t>
      </w:r>
    </w:p>
    <w:p w14:paraId="225134BB">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一、项目基本情况</w:t>
      </w:r>
    </w:p>
    <w:p w14:paraId="1B9BB85B">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成都市技师学院（成都工贸职业技术学院）路桥工程施工技术仿真系统采购项目具体包含：路桥施工实训云平台、路桥施工专业知识问答模拟模块、路桥施工工艺模拟实操模块、路桥施工组织管理案例实操管理模块4部分。</w:t>
      </w:r>
      <w:r>
        <w:rPr>
          <w:rFonts w:hint="eastAsia" w:ascii="宋体" w:hAnsi="宋体" w:eastAsia="宋体" w:cs="宋体"/>
          <w:bCs w:val="0"/>
          <w:snapToGrid/>
          <w:color w:val="auto"/>
          <w:kern w:val="2"/>
          <w:sz w:val="28"/>
          <w:szCs w:val="28"/>
          <w:highlight w:val="none"/>
          <w:u w:val="none"/>
          <w:lang w:val="en-US" w:eastAsia="zh-CN"/>
        </w:rPr>
        <w:t>本项目旨在通过路桥施工仿真系统的搭建，满足我校铁道工程技术专业群路桥类课程基本教学、专业技能实训及全国路桥施工类技能大赛要求，</w:t>
      </w:r>
      <w:r>
        <w:rPr>
          <w:rFonts w:hint="eastAsia" w:ascii="宋体" w:hAnsi="宋体" w:eastAsia="宋体" w:cs="宋体"/>
          <w:snapToGrid/>
          <w:color w:val="auto"/>
          <w:kern w:val="2"/>
          <w:sz w:val="28"/>
          <w:szCs w:val="28"/>
          <w:highlight w:val="none"/>
        </w:rPr>
        <w:t>为学生提供全时段全方位的理论与实践学习资源，帮助学生提升岗位核心竞争力；为学校提供新的理实一体化教学模式，进一步建设成为信息化教学示范点；同时，让院校与企业在人才培养上实现双向互助，最终提升高职教育的社会服务能力。</w:t>
      </w:r>
    </w:p>
    <w:p w14:paraId="5E3AA8C1">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二、合同标的</w:t>
      </w:r>
    </w:p>
    <w:p w14:paraId="5C52A83A">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1.合同标的明细</w:t>
      </w:r>
    </w:p>
    <w:tbl>
      <w:tblPr>
        <w:tblStyle w:val="18"/>
        <w:tblW w:w="84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05"/>
        <w:gridCol w:w="795"/>
        <w:gridCol w:w="930"/>
        <w:gridCol w:w="915"/>
        <w:gridCol w:w="975"/>
        <w:gridCol w:w="960"/>
        <w:gridCol w:w="690"/>
      </w:tblGrid>
      <w:tr w14:paraId="7268D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3BB56C85">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lang w:eastAsia="zh-CN"/>
              </w:rPr>
            </w:pPr>
            <w:bookmarkStart w:id="198" w:name="_Toc26626"/>
            <w:r>
              <w:rPr>
                <w:rFonts w:hint="eastAsia" w:ascii="宋体" w:hAnsi="宋体" w:eastAsia="宋体" w:cs="宋体"/>
                <w:b w:val="0"/>
                <w:bCs w:val="0"/>
                <w:snapToGrid/>
                <w:color w:val="auto"/>
                <w:kern w:val="2"/>
                <w:sz w:val="28"/>
                <w:szCs w:val="28"/>
                <w:highlight w:val="none"/>
              </w:rPr>
              <w:t>货物</w:t>
            </w:r>
            <w:r>
              <w:rPr>
                <w:rFonts w:hint="eastAsia" w:ascii="宋体" w:hAnsi="宋体" w:eastAsia="宋体" w:cs="宋体"/>
                <w:b w:val="0"/>
                <w:bCs w:val="0"/>
                <w:snapToGrid/>
                <w:color w:val="auto"/>
                <w:kern w:val="2"/>
                <w:sz w:val="28"/>
                <w:szCs w:val="28"/>
                <w:highlight w:val="none"/>
                <w:lang w:val="en-US" w:eastAsia="zh-CN"/>
              </w:rPr>
              <w:t>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CAA540">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制造商或品牌</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04D1CDC">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规格型号</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A985019">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单位</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5F17B0E">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数量</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9CAA03F">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单价（元）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E0DAF9">
            <w:pPr>
              <w:pageBreakBefore w:val="0"/>
              <w:widowControl w:val="0"/>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总价</w:t>
            </w:r>
          </w:p>
          <w:p w14:paraId="3076C8C6">
            <w:pPr>
              <w:pageBreakBefore w:val="0"/>
              <w:widowControl w:val="0"/>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（元）</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766944D">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rPr>
              <w:t>备注</w:t>
            </w:r>
          </w:p>
        </w:tc>
      </w:tr>
      <w:tr w14:paraId="7E540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2248A3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bCs w:val="0"/>
                <w:snapToGrid/>
                <w:spacing w:val="-3"/>
                <w:kern w:val="0"/>
                <w:sz w:val="21"/>
                <w:szCs w:val="21"/>
                <w:highlight w:val="none"/>
                <w:u w:val="none"/>
                <w:lang w:val="en-US" w:eastAsia="zh-Hans"/>
              </w:rPr>
              <w:t>路桥施工</w:t>
            </w:r>
            <w:r>
              <w:rPr>
                <w:rFonts w:hint="eastAsia" w:ascii="宋体" w:hAnsi="宋体" w:eastAsia="宋体" w:cs="宋体"/>
                <w:snapToGrid/>
                <w:spacing w:val="-3"/>
                <w:kern w:val="0"/>
                <w:sz w:val="21"/>
                <w:szCs w:val="21"/>
                <w:lang w:val="en-US" w:eastAsia="zh-Hans" w:bidi="ar-SA"/>
              </w:rPr>
              <w:t>实训云平台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81EB93E">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EFE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套</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128D4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717EECD">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242E0CA">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D20B4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017F89F">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rPr>
            </w:pPr>
          </w:p>
        </w:tc>
      </w:tr>
      <w:tr w14:paraId="3AEA1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1464D6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路桥施工</w:t>
            </w:r>
            <w:r>
              <w:rPr>
                <w:rFonts w:hint="eastAsia" w:ascii="宋体" w:hAnsi="宋体" w:eastAsia="宋体" w:cs="宋体"/>
                <w:snapToGrid/>
                <w:spacing w:val="-3"/>
                <w:kern w:val="0"/>
                <w:sz w:val="21"/>
                <w:szCs w:val="21"/>
                <w:lang w:val="en-AU" w:eastAsia="en-US" w:bidi="ar-SA"/>
              </w:rPr>
              <w:t>专业知识问答模拟</w:t>
            </w:r>
            <w:r>
              <w:rPr>
                <w:rFonts w:hint="eastAsia" w:ascii="宋体" w:hAnsi="宋体" w:eastAsia="宋体" w:cs="宋体"/>
                <w:snapToGrid/>
                <w:spacing w:val="-3"/>
                <w:kern w:val="0"/>
                <w:sz w:val="21"/>
                <w:szCs w:val="21"/>
                <w:lang w:val="en-US" w:eastAsia="zh-Hans" w:bidi="ar-SA"/>
              </w:rPr>
              <w:t>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577AF5">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0BC5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7351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3CB77E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A11C2EF">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96E60F1">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E266E3A">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r w14:paraId="3B9D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3232D1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施工工艺模拟实操模块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E36BCDE">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6DC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7DCE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703D339">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BF97064">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F075CB">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C7A38A6">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r w14:paraId="51D59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0FF9CA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路桥</w:t>
            </w:r>
            <w:r>
              <w:rPr>
                <w:rFonts w:hint="eastAsia" w:ascii="宋体" w:hAnsi="宋体" w:eastAsia="宋体" w:cs="宋体"/>
                <w:snapToGrid/>
                <w:spacing w:val="-3"/>
                <w:kern w:val="0"/>
                <w:sz w:val="21"/>
                <w:szCs w:val="21"/>
                <w:lang w:val="en-AU" w:eastAsia="en-US" w:bidi="ar-SA"/>
              </w:rPr>
              <w:t>施工组织管理案例实操管理模块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A9713F7">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577E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节点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030FE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napToGrid/>
                <w:color w:val="auto"/>
                <w:kern w:val="2"/>
                <w:sz w:val="30"/>
                <w:szCs w:val="30"/>
                <w:highlight w:val="none"/>
              </w:rPr>
            </w:pPr>
            <w:r>
              <w:rPr>
                <w:rFonts w:hint="eastAsia" w:ascii="宋体" w:hAnsi="宋体" w:eastAsia="宋体" w:cs="宋体"/>
                <w:snapToGrid/>
                <w:spacing w:val="-3"/>
                <w:kern w:val="0"/>
                <w:sz w:val="21"/>
                <w:szCs w:val="21"/>
                <w:lang w:val="en-US" w:eastAsia="zh-CN" w:bidi="ar-SA"/>
              </w:rPr>
              <w:t>50</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3A38133">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0935188">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12445D">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snapToGrid/>
                <w:color w:val="auto"/>
                <w:kern w:val="2"/>
                <w:sz w:val="30"/>
                <w:szCs w:val="30"/>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A523E01">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snapToGrid/>
                <w:color w:val="auto"/>
                <w:kern w:val="2"/>
                <w:sz w:val="30"/>
                <w:szCs w:val="30"/>
                <w:highlight w:val="none"/>
                <w:lang w:val="en-US" w:eastAsia="zh-CN" w:bidi="ar-SA"/>
              </w:rPr>
            </w:pPr>
          </w:p>
        </w:tc>
      </w:tr>
    </w:tbl>
    <w:p w14:paraId="75B8494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2.合同标的技术参数明细</w:t>
      </w:r>
    </w:p>
    <w:p w14:paraId="6F50EE0F">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XXXX。</w:t>
      </w:r>
    </w:p>
    <w:p w14:paraId="73D1BEA1">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三、履约时间和方式</w:t>
      </w:r>
    </w:p>
    <w:bookmarkEnd w:id="198"/>
    <w:p w14:paraId="04B7D49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Hans"/>
        </w:rPr>
        <w:t>合同签订之日起</w:t>
      </w:r>
      <w:r>
        <w:rPr>
          <w:rFonts w:hint="eastAsia" w:ascii="宋体" w:hAnsi="宋体" w:eastAsia="宋体" w:cs="宋体"/>
          <w:b w:val="0"/>
          <w:bCs w:val="0"/>
          <w:snapToGrid/>
          <w:color w:val="auto"/>
          <w:kern w:val="2"/>
          <w:sz w:val="28"/>
          <w:szCs w:val="28"/>
          <w:highlight w:val="none"/>
          <w:lang w:val="en-US" w:eastAsia="zh-CN"/>
        </w:rPr>
        <w:t>30</w:t>
      </w:r>
      <w:r>
        <w:rPr>
          <w:rFonts w:hint="eastAsia" w:ascii="宋体" w:hAnsi="宋体" w:eastAsia="宋体" w:cs="宋体"/>
          <w:b w:val="0"/>
          <w:bCs w:val="0"/>
          <w:snapToGrid/>
          <w:color w:val="auto"/>
          <w:kern w:val="2"/>
          <w:sz w:val="28"/>
          <w:szCs w:val="28"/>
          <w:highlight w:val="none"/>
          <w:lang w:val="en-US" w:eastAsia="zh-Hans"/>
        </w:rPr>
        <w:t>个日历</w:t>
      </w:r>
      <w:r>
        <w:rPr>
          <w:rFonts w:hint="eastAsia" w:ascii="宋体" w:hAnsi="宋体" w:eastAsia="宋体" w:cs="宋体"/>
          <w:b w:val="0"/>
          <w:bCs w:val="0"/>
          <w:snapToGrid/>
          <w:color w:val="auto"/>
          <w:kern w:val="2"/>
          <w:sz w:val="28"/>
          <w:szCs w:val="28"/>
          <w:highlight w:val="none"/>
          <w:lang w:val="en-US" w:eastAsia="zh-CN"/>
        </w:rPr>
        <w:t>天内现场交付</w:t>
      </w:r>
    </w:p>
    <w:p w14:paraId="797DC1F8">
      <w:pPr>
        <w:pageBreakBefore w:val="0"/>
        <w:widowControl w:val="0"/>
        <w:numPr>
          <w:ilvl w:val="0"/>
          <w:numId w:val="0"/>
        </w:numPr>
        <w:tabs>
          <w:tab w:val="left" w:pos="0"/>
        </w:tabs>
        <w:kinsoku/>
        <w:overflowPunct/>
        <w:autoSpaceDE/>
        <w:autoSpaceDN/>
        <w:bidi w:val="0"/>
        <w:adjustRightInd w:val="0"/>
        <w:snapToGrid w:val="0"/>
        <w:spacing w:line="320" w:lineRule="exact"/>
        <w:ind w:leftChars="200"/>
        <w:jc w:val="left"/>
        <w:textAlignment w:val="auto"/>
        <w:rPr>
          <w:rFonts w:hint="eastAsia" w:ascii="宋体" w:hAnsi="宋体" w:eastAsia="宋体" w:cs="宋体"/>
          <w:b/>
          <w:bCs/>
          <w:snapToGrid/>
          <w:color w:val="auto"/>
          <w:kern w:val="2"/>
          <w:sz w:val="28"/>
          <w:szCs w:val="28"/>
          <w:highlight w:val="red"/>
          <w:lang w:val="en-US" w:eastAsia="zh-CN" w:bidi="ar-SA"/>
        </w:rPr>
      </w:pPr>
      <w:r>
        <w:rPr>
          <w:rFonts w:hint="eastAsia" w:ascii="宋体" w:hAnsi="宋体" w:eastAsia="宋体" w:cs="宋体"/>
          <w:b/>
          <w:bCs/>
          <w:snapToGrid/>
          <w:color w:val="auto"/>
          <w:kern w:val="2"/>
          <w:sz w:val="28"/>
          <w:szCs w:val="28"/>
          <w:highlight w:val="none"/>
          <w:lang w:val="en-US" w:eastAsia="zh-CN" w:bidi="ar-SA"/>
        </w:rPr>
        <w:t>四、履约地点</w:t>
      </w:r>
    </w:p>
    <w:p w14:paraId="7988C10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成都市技师学院郫都西校区</w:t>
      </w:r>
    </w:p>
    <w:p w14:paraId="68BF84E1">
      <w:pPr>
        <w:pageBreakBefore w:val="0"/>
        <w:widowControl w:val="0"/>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五、合同总价、付款安排、支付方式</w:t>
      </w:r>
    </w:p>
    <w:p w14:paraId="1E3F06E4">
      <w:pPr>
        <w:pageBreakBefore w:val="0"/>
        <w:widowControl/>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kern w:val="2"/>
          <w:sz w:val="28"/>
          <w:szCs w:val="28"/>
        </w:rPr>
        <w:t>1.合同总价：      元（大写：人民币      ）</w:t>
      </w:r>
      <w:bookmarkStart w:id="199" w:name="_Hlk174552154"/>
      <w:r>
        <w:rPr>
          <w:rFonts w:hint="eastAsia" w:ascii="宋体" w:hAnsi="宋体" w:eastAsia="宋体" w:cs="宋体"/>
          <w:snapToGrid/>
          <w:kern w:val="2"/>
          <w:sz w:val="28"/>
          <w:szCs w:val="28"/>
        </w:rPr>
        <w:t>，已包含本项目涉及所有运输费、人工费、税费等全部费用</w:t>
      </w:r>
      <w:bookmarkEnd w:id="199"/>
      <w:r>
        <w:rPr>
          <w:rFonts w:hint="eastAsia" w:ascii="宋体" w:hAnsi="宋体" w:eastAsia="宋体" w:cs="宋体"/>
          <w:snapToGrid/>
          <w:kern w:val="2"/>
          <w:sz w:val="28"/>
          <w:szCs w:val="28"/>
        </w:rPr>
        <w:t>。</w:t>
      </w:r>
    </w:p>
    <w:p w14:paraId="55BC721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b w:val="0"/>
          <w:bCs w:val="0"/>
          <w:snapToGrid/>
          <w:color w:val="auto"/>
          <w:kern w:val="2"/>
          <w:sz w:val="28"/>
          <w:szCs w:val="28"/>
          <w:highlight w:val="none"/>
          <w:lang w:val="en-US" w:eastAsia="zh-CN"/>
        </w:rPr>
        <w:t>2.付款进度安排：</w:t>
      </w: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完成本项目全部工作，且设备经</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竣工验收合格后，自</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收到</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出具的合法有效完整的等额完税发票之日起15个日历天内支付合同总金额的百分之百的服务款；若收到</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发票之日早于验收合格之日，则自验收合格之日起15个日历天内支付。</w:t>
      </w:r>
    </w:p>
    <w:p w14:paraId="327C145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val="en-US" w:eastAsia="zh-CN"/>
        </w:rPr>
        <w:t>乙方拒绝</w:t>
      </w:r>
      <w:r>
        <w:rPr>
          <w:rFonts w:hint="eastAsia" w:ascii="宋体" w:hAnsi="宋体" w:eastAsia="宋体" w:cs="宋体"/>
          <w:snapToGrid/>
          <w:color w:val="auto"/>
          <w:kern w:val="2"/>
          <w:sz w:val="28"/>
          <w:szCs w:val="28"/>
          <w:highlight w:val="none"/>
        </w:rPr>
        <w:t>提供增值税发票（普票）</w:t>
      </w:r>
      <w:r>
        <w:rPr>
          <w:rFonts w:hint="eastAsia" w:ascii="宋体" w:hAnsi="宋体" w:eastAsia="宋体" w:cs="宋体"/>
          <w:snapToGrid/>
          <w:color w:val="auto"/>
          <w:kern w:val="2"/>
          <w:sz w:val="28"/>
          <w:szCs w:val="28"/>
          <w:highlight w:val="none"/>
          <w:lang w:eastAsia="zh-CN"/>
        </w:rPr>
        <w:t>、</w:t>
      </w:r>
      <w:r>
        <w:rPr>
          <w:rFonts w:hint="eastAsia" w:ascii="宋体" w:hAnsi="宋体" w:eastAsia="宋体" w:cs="宋体"/>
          <w:snapToGrid/>
          <w:color w:val="auto"/>
          <w:kern w:val="2"/>
          <w:sz w:val="28"/>
          <w:szCs w:val="28"/>
          <w:highlight w:val="none"/>
          <w:lang w:val="en-US" w:eastAsia="zh-CN"/>
        </w:rPr>
        <w:t>提供虚假</w:t>
      </w:r>
      <w:r>
        <w:rPr>
          <w:rFonts w:hint="eastAsia" w:ascii="宋体" w:hAnsi="宋体" w:eastAsia="宋体" w:cs="宋体"/>
          <w:snapToGrid/>
          <w:color w:val="auto"/>
          <w:kern w:val="2"/>
          <w:sz w:val="28"/>
          <w:szCs w:val="28"/>
          <w:highlight w:val="none"/>
        </w:rPr>
        <w:t>增值税发票（普票），或者</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提供的发票不满足</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财务要求的，</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有权拒付且不承担任何逾期付款的责任。</w:t>
      </w:r>
    </w:p>
    <w:p w14:paraId="437728F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3.资金支付方式：</w:t>
      </w:r>
      <w:r>
        <w:rPr>
          <w:rFonts w:hint="eastAsia" w:ascii="宋体" w:hAnsi="宋体" w:eastAsia="宋体" w:cs="宋体"/>
          <w:snapToGrid/>
          <w:color w:val="auto"/>
          <w:kern w:val="2"/>
          <w:sz w:val="28"/>
          <w:szCs w:val="28"/>
          <w:highlight w:val="none"/>
        </w:rPr>
        <w:t>一次性对公银行转账</w:t>
      </w:r>
      <w:r>
        <w:rPr>
          <w:rFonts w:hint="eastAsia" w:ascii="宋体" w:hAnsi="宋体" w:eastAsia="宋体" w:cs="宋体"/>
          <w:snapToGrid/>
          <w:color w:val="auto"/>
          <w:kern w:val="2"/>
          <w:sz w:val="28"/>
          <w:szCs w:val="28"/>
          <w:highlight w:val="none"/>
          <w:lang w:eastAsia="zh-CN"/>
        </w:rPr>
        <w:t>。</w:t>
      </w:r>
    </w:p>
    <w:p w14:paraId="7F0DD4F8">
      <w:pPr>
        <w:pageBreakBefore w:val="0"/>
        <w:widowControl w:val="0"/>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bookmarkStart w:id="200" w:name="_Toc19079"/>
      <w:r>
        <w:rPr>
          <w:rFonts w:hint="eastAsia" w:ascii="宋体" w:hAnsi="宋体" w:eastAsia="宋体" w:cs="宋体"/>
          <w:b/>
          <w:bCs/>
          <w:color w:val="auto"/>
          <w:kern w:val="2"/>
          <w:sz w:val="28"/>
          <w:szCs w:val="28"/>
          <w:highlight w:val="none"/>
          <w:lang w:val="en-US" w:eastAsia="zh-CN" w:bidi="ar-SA"/>
        </w:rPr>
        <w:t>六、质量及供货渠道要求</w:t>
      </w:r>
    </w:p>
    <w:p w14:paraId="015A7F5E">
      <w:pPr>
        <w:pageBreakBefore w:val="0"/>
        <w:widowControl w:val="0"/>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质量要求合格，交货至甲方指定地点,安装调试完成，符合国家强制性规定验收标准并通过甲方验收合格。</w:t>
      </w:r>
    </w:p>
    <w:p w14:paraId="5471DFD3">
      <w:pPr>
        <w:keepNext/>
        <w:keepLines/>
        <w:pageBreakBefore w:val="0"/>
        <w:widowControl w:val="0"/>
        <w:numPr>
          <w:ilvl w:val="0"/>
          <w:numId w:val="0"/>
        </w:numPr>
        <w:tabs>
          <w:tab w:val="left" w:pos="0"/>
        </w:tabs>
        <w:kinsoku/>
        <w:overflowPunct/>
        <w:autoSpaceDE/>
        <w:autoSpaceDN/>
        <w:bidi w:val="0"/>
        <w:adjustRightInd w:val="0"/>
        <w:snapToGrid w:val="0"/>
        <w:spacing w:before="0" w:after="0" w:line="320" w:lineRule="exact"/>
        <w:ind w:firstLine="562" w:firstLineChars="200"/>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七、安装调试要求</w:t>
      </w:r>
    </w:p>
    <w:p w14:paraId="2721B70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应根据项目工期要求完成软件交付，需向</w:t>
      </w:r>
      <w:r>
        <w:rPr>
          <w:rFonts w:hint="eastAsia" w:ascii="宋体" w:hAnsi="宋体" w:eastAsia="宋体" w:cs="宋体"/>
          <w:snapToGrid/>
          <w:color w:val="auto"/>
          <w:kern w:val="2"/>
          <w:sz w:val="28"/>
          <w:szCs w:val="28"/>
          <w:highlight w:val="none"/>
          <w:lang w:val="en-US" w:eastAsia="zh-CN"/>
        </w:rPr>
        <w:t>甲方</w:t>
      </w:r>
      <w:r>
        <w:rPr>
          <w:rFonts w:hint="eastAsia" w:ascii="宋体" w:hAnsi="宋体" w:eastAsia="宋体" w:cs="宋体"/>
          <w:snapToGrid/>
          <w:color w:val="auto"/>
          <w:kern w:val="2"/>
          <w:sz w:val="28"/>
          <w:szCs w:val="28"/>
          <w:highlight w:val="none"/>
        </w:rPr>
        <w:t>提供相关的中文（或英文）技术资料，包含但不限于授权书、使用说明书等。</w:t>
      </w:r>
      <w:r>
        <w:rPr>
          <w:rFonts w:hint="eastAsia" w:ascii="宋体" w:hAnsi="宋体" w:eastAsia="宋体" w:cs="宋体"/>
          <w:snapToGrid/>
          <w:color w:val="auto"/>
          <w:kern w:val="2"/>
          <w:sz w:val="28"/>
          <w:szCs w:val="28"/>
          <w:highlight w:val="none"/>
          <w:lang w:val="en-US" w:eastAsia="zh-CN"/>
        </w:rPr>
        <w:t>乙方</w:t>
      </w:r>
      <w:r>
        <w:rPr>
          <w:rFonts w:hint="eastAsia" w:ascii="宋体" w:hAnsi="宋体" w:eastAsia="宋体" w:cs="宋体"/>
          <w:snapToGrid/>
          <w:color w:val="auto"/>
          <w:kern w:val="2"/>
          <w:sz w:val="28"/>
          <w:szCs w:val="28"/>
          <w:highlight w:val="none"/>
        </w:rPr>
        <w:t>需负责派技术人员到现场进行安装和调试，技术人员必须具备安装的实际工作经验，并负责调试至验收合格交付</w:t>
      </w:r>
      <w:r>
        <w:rPr>
          <w:rFonts w:hint="eastAsia" w:ascii="宋体" w:hAnsi="宋体" w:eastAsia="宋体" w:cs="宋体"/>
          <w:snapToGrid/>
          <w:color w:val="auto"/>
          <w:kern w:val="2"/>
          <w:sz w:val="28"/>
          <w:szCs w:val="28"/>
          <w:highlight w:val="none"/>
          <w:lang w:val="en-US" w:eastAsia="zh-CN"/>
        </w:rPr>
        <w:t>甲方</w:t>
      </w:r>
      <w:r>
        <w:rPr>
          <w:rFonts w:hint="eastAsia" w:ascii="宋体" w:hAnsi="宋体" w:eastAsia="宋体" w:cs="宋体"/>
          <w:snapToGrid/>
          <w:color w:val="auto"/>
          <w:kern w:val="2"/>
          <w:sz w:val="28"/>
          <w:szCs w:val="28"/>
          <w:highlight w:val="none"/>
        </w:rPr>
        <w:t>使用。</w:t>
      </w:r>
    </w:p>
    <w:p w14:paraId="4A4F24EF">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八、售后服务及要求</w:t>
      </w:r>
    </w:p>
    <w:bookmarkEnd w:id="200"/>
    <w:p w14:paraId="3F3D4DE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1.售后服务时间：</w:t>
      </w:r>
      <w:r>
        <w:rPr>
          <w:rFonts w:hint="eastAsia" w:ascii="宋体" w:hAnsi="宋体" w:eastAsia="宋体" w:cs="宋体"/>
          <w:snapToGrid/>
          <w:color w:val="auto"/>
          <w:kern w:val="2"/>
          <w:sz w:val="28"/>
          <w:szCs w:val="28"/>
          <w:highlight w:val="none"/>
          <w:lang w:val="en-US" w:eastAsia="zh-CN"/>
        </w:rPr>
        <w:t>三</w:t>
      </w:r>
      <w:r>
        <w:rPr>
          <w:rFonts w:hint="eastAsia" w:ascii="宋体" w:hAnsi="宋体" w:eastAsia="宋体" w:cs="宋体"/>
          <w:snapToGrid/>
          <w:color w:val="auto"/>
          <w:kern w:val="2"/>
          <w:sz w:val="28"/>
          <w:szCs w:val="28"/>
          <w:highlight w:val="none"/>
        </w:rPr>
        <w:t>年，售后服务期的起始日期为</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设备验收合格之日起开始计算。</w:t>
      </w:r>
    </w:p>
    <w:p w14:paraId="0F1A507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2.售后服务分电话(含网络)服务和上门服务。售后服务期内，</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在接到</w:t>
      </w: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rPr>
        <w:t>故障报修后能在2小时内通过电话(含网络)服务排除故障的，则无需上门服务。若在规定时间内不能通过电话(含网络)服务排除故障的，</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应在故障报修后的12小时内到达现场，到达现场后24小时内排除故障(若涉及主要设备更换或者返厂维修</w:t>
      </w:r>
      <w:r>
        <w:rPr>
          <w:rFonts w:hint="eastAsia" w:ascii="宋体" w:hAnsi="宋体" w:eastAsia="宋体" w:cs="宋体"/>
          <w:snapToGrid/>
          <w:color w:val="auto"/>
          <w:kern w:val="2"/>
          <w:sz w:val="28"/>
          <w:szCs w:val="28"/>
          <w:highlight w:val="none"/>
          <w:lang w:val="en-US" w:eastAsia="zh-CN"/>
        </w:rPr>
        <w:t>等特殊情况的，其</w:t>
      </w:r>
      <w:r>
        <w:rPr>
          <w:rFonts w:hint="eastAsia" w:ascii="宋体" w:hAnsi="宋体" w:eastAsia="宋体" w:cs="宋体"/>
          <w:snapToGrid/>
          <w:color w:val="auto"/>
          <w:kern w:val="2"/>
          <w:sz w:val="28"/>
          <w:szCs w:val="28"/>
          <w:highlight w:val="none"/>
        </w:rPr>
        <w:t>故障排除时间由双方协商确定)。</w:t>
      </w:r>
    </w:p>
    <w:p w14:paraId="003D1F82">
      <w:pPr>
        <w:widowControl w:val="0"/>
        <w:tabs>
          <w:tab w:val="left" w:pos="0"/>
        </w:tabs>
        <w:kinsoku/>
        <w:autoSpaceDE/>
        <w:autoSpaceDN/>
        <w:adjustRightInd w:val="0"/>
        <w:snapToGrid w:val="0"/>
        <w:spacing w:line="320" w:lineRule="exact"/>
        <w:ind w:firstLine="560" w:firstLineChars="200"/>
        <w:jc w:val="left"/>
        <w:textAlignment w:val="auto"/>
        <w:rPr>
          <w:rFonts w:hint="eastAsia" w:ascii="宋体" w:hAnsi="宋体" w:eastAsia="宋体" w:cs="宋体"/>
          <w:snapToGrid/>
          <w:kern w:val="2"/>
          <w:sz w:val="28"/>
          <w:szCs w:val="28"/>
        </w:rPr>
      </w:pPr>
      <w:r>
        <w:rPr>
          <w:rFonts w:hint="eastAsia" w:ascii="宋体" w:hAnsi="宋体" w:eastAsia="宋体" w:cs="宋体"/>
          <w:snapToGrid/>
          <w:kern w:val="2"/>
          <w:sz w:val="28"/>
          <w:szCs w:val="28"/>
        </w:rPr>
        <w:t>售后服务人员：</w:t>
      </w:r>
    </w:p>
    <w:p w14:paraId="3D5237B0">
      <w:pPr>
        <w:pageBreakBefore w:val="0"/>
        <w:widowControl/>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kern w:val="2"/>
          <w:sz w:val="28"/>
          <w:szCs w:val="28"/>
        </w:rPr>
        <w:t>售后服务人员联系方式：</w:t>
      </w:r>
    </w:p>
    <w:p w14:paraId="003E219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3.售后服务期内，投标人应向招标人提供软件更新、维护、升级等服务，同时每年需有专业教师及培训团队，不少于1</w:t>
      </w:r>
      <w:r>
        <w:rPr>
          <w:rFonts w:hint="eastAsia" w:ascii="宋体" w:hAnsi="宋体" w:eastAsia="宋体" w:cs="宋体"/>
          <w:snapToGrid/>
          <w:color w:val="auto"/>
          <w:kern w:val="2"/>
          <w:sz w:val="28"/>
          <w:szCs w:val="28"/>
          <w:highlight w:val="none"/>
          <w:lang w:val="en-US" w:eastAsia="zh-CN"/>
        </w:rPr>
        <w:t>2</w:t>
      </w:r>
      <w:r>
        <w:rPr>
          <w:rFonts w:hint="eastAsia" w:ascii="宋体" w:hAnsi="宋体" w:eastAsia="宋体" w:cs="宋体"/>
          <w:snapToGrid/>
          <w:color w:val="auto"/>
          <w:kern w:val="2"/>
          <w:sz w:val="28"/>
          <w:szCs w:val="28"/>
          <w:highlight w:val="none"/>
        </w:rPr>
        <w:t>课时的专业技术培训服务。</w:t>
      </w:r>
    </w:p>
    <w:p w14:paraId="1C55BED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bCs/>
          <w:snapToGrid/>
          <w:color w:val="auto"/>
          <w:kern w:val="2"/>
          <w:sz w:val="28"/>
          <w:szCs w:val="28"/>
          <w:highlight w:val="none"/>
          <w:lang w:val="en-US" w:eastAsia="zh-CN" w:bidi="ar-SA"/>
        </w:rPr>
      </w:pPr>
      <w:r>
        <w:rPr>
          <w:rFonts w:hint="eastAsia" w:ascii="宋体" w:hAnsi="宋体" w:eastAsia="宋体" w:cs="宋体"/>
          <w:snapToGrid/>
          <w:color w:val="auto"/>
          <w:kern w:val="2"/>
          <w:sz w:val="28"/>
          <w:szCs w:val="28"/>
          <w:highlight w:val="none"/>
        </w:rPr>
        <w:t>4.售后服务期内涉及的人工等费用均由</w:t>
      </w:r>
      <w:r>
        <w:rPr>
          <w:rFonts w:hint="eastAsia" w:ascii="宋体" w:hAnsi="宋体" w:eastAsia="宋体" w:cs="宋体"/>
          <w:snapToGrid/>
          <w:color w:val="auto"/>
          <w:kern w:val="2"/>
          <w:sz w:val="28"/>
          <w:szCs w:val="28"/>
          <w:highlight w:val="none"/>
          <w:lang w:eastAsia="zh-CN"/>
        </w:rPr>
        <w:t>乙方</w:t>
      </w:r>
      <w:r>
        <w:rPr>
          <w:rFonts w:hint="eastAsia" w:ascii="宋体" w:hAnsi="宋体" w:eastAsia="宋体" w:cs="宋体"/>
          <w:snapToGrid/>
          <w:color w:val="auto"/>
          <w:kern w:val="2"/>
          <w:sz w:val="28"/>
          <w:szCs w:val="28"/>
          <w:highlight w:val="none"/>
        </w:rPr>
        <w:t>承担。</w:t>
      </w:r>
      <w:bookmarkStart w:id="201" w:name="_Toc11800"/>
    </w:p>
    <w:p w14:paraId="0C7C00B6">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left"/>
        <w:textAlignment w:val="auto"/>
        <w:rPr>
          <w:rFonts w:hint="eastAsia" w:ascii="宋体" w:hAnsi="宋体" w:eastAsia="宋体" w:cs="宋体"/>
          <w:b/>
          <w:bCs/>
          <w:snapToGrid/>
          <w:color w:val="auto"/>
          <w:kern w:val="2"/>
          <w:sz w:val="28"/>
          <w:szCs w:val="28"/>
          <w:highlight w:val="red"/>
          <w:lang w:val="en-US" w:eastAsia="zh-CN" w:bidi="ar-SA"/>
        </w:rPr>
      </w:pPr>
      <w:r>
        <w:rPr>
          <w:rFonts w:hint="eastAsia" w:ascii="宋体" w:hAnsi="宋体" w:eastAsia="宋体" w:cs="宋体"/>
          <w:b/>
          <w:bCs/>
          <w:snapToGrid/>
          <w:color w:val="auto"/>
          <w:kern w:val="2"/>
          <w:sz w:val="28"/>
          <w:szCs w:val="28"/>
          <w:highlight w:val="none"/>
          <w:lang w:val="en-US" w:eastAsia="zh-CN" w:bidi="ar-SA"/>
        </w:rPr>
        <w:t>九、其他商务要求</w:t>
      </w:r>
    </w:p>
    <w:p w14:paraId="6C9F987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kern w:val="2"/>
          <w:sz w:val="28"/>
          <w:szCs w:val="28"/>
          <w:u w:val="none"/>
        </w:rPr>
        <w:t>乙方应为甲方培训软件的基本使用以及基本问题及故障的处理等，具体培训方式内容和时间安排由双方协商确定，</w:t>
      </w:r>
      <w:r>
        <w:rPr>
          <w:rFonts w:hint="eastAsia" w:ascii="宋体" w:hAnsi="宋体" w:eastAsia="宋体" w:cs="宋体"/>
          <w:bCs w:val="0"/>
          <w:snapToGrid/>
          <w:kern w:val="2"/>
          <w:sz w:val="28"/>
          <w:szCs w:val="28"/>
          <w:highlight w:val="none"/>
          <w:u w:val="none"/>
        </w:rPr>
        <w:t>但培训次数不得少于</w:t>
      </w:r>
      <w:r>
        <w:rPr>
          <w:rFonts w:hint="eastAsia" w:ascii="宋体" w:hAnsi="宋体" w:eastAsia="宋体" w:cs="宋体"/>
          <w:bCs w:val="0"/>
          <w:snapToGrid/>
          <w:kern w:val="2"/>
          <w:sz w:val="28"/>
          <w:szCs w:val="28"/>
          <w:highlight w:val="none"/>
          <w:u w:val="none"/>
          <w:lang w:val="en-US" w:eastAsia="zh-CN"/>
        </w:rPr>
        <w:t>4</w:t>
      </w:r>
      <w:r>
        <w:rPr>
          <w:rFonts w:hint="eastAsia" w:ascii="宋体" w:hAnsi="宋体" w:eastAsia="宋体" w:cs="宋体"/>
          <w:bCs w:val="0"/>
          <w:snapToGrid/>
          <w:kern w:val="2"/>
          <w:sz w:val="28"/>
          <w:szCs w:val="28"/>
          <w:highlight w:val="none"/>
          <w:u w:val="none"/>
        </w:rPr>
        <w:t>次，每次培训时长不得少于</w:t>
      </w:r>
      <w:r>
        <w:rPr>
          <w:rFonts w:hint="eastAsia" w:ascii="宋体" w:hAnsi="宋体" w:eastAsia="宋体" w:cs="宋体"/>
          <w:bCs w:val="0"/>
          <w:snapToGrid/>
          <w:kern w:val="2"/>
          <w:sz w:val="28"/>
          <w:szCs w:val="28"/>
          <w:highlight w:val="none"/>
          <w:u w:val="none"/>
          <w:lang w:val="en-US" w:eastAsia="zh-CN"/>
        </w:rPr>
        <w:t>3</w:t>
      </w:r>
      <w:r>
        <w:rPr>
          <w:rFonts w:hint="eastAsia" w:ascii="宋体" w:hAnsi="宋体" w:eastAsia="宋体" w:cs="宋体"/>
          <w:bCs w:val="0"/>
          <w:snapToGrid/>
          <w:kern w:val="2"/>
          <w:sz w:val="28"/>
          <w:szCs w:val="28"/>
          <w:highlight w:val="none"/>
          <w:u w:val="none"/>
        </w:rPr>
        <w:t>小时，累计培训</w:t>
      </w:r>
      <w:r>
        <w:rPr>
          <w:rFonts w:hint="eastAsia" w:ascii="宋体" w:hAnsi="宋体" w:eastAsia="宋体" w:cs="宋体"/>
          <w:bCs w:val="0"/>
          <w:snapToGrid/>
          <w:kern w:val="2"/>
          <w:sz w:val="28"/>
          <w:szCs w:val="28"/>
          <w:highlight w:val="none"/>
          <w:u w:val="none"/>
          <w:lang w:val="en-US" w:eastAsia="zh-CN"/>
        </w:rPr>
        <w:t>时长</w:t>
      </w:r>
      <w:r>
        <w:rPr>
          <w:rFonts w:hint="eastAsia" w:ascii="宋体" w:hAnsi="宋体" w:eastAsia="宋体" w:cs="宋体"/>
          <w:bCs w:val="0"/>
          <w:snapToGrid/>
          <w:kern w:val="2"/>
          <w:sz w:val="28"/>
          <w:szCs w:val="28"/>
          <w:highlight w:val="none"/>
          <w:u w:val="none"/>
        </w:rPr>
        <w:t>不得少于</w:t>
      </w:r>
      <w:r>
        <w:rPr>
          <w:rFonts w:hint="eastAsia" w:ascii="宋体" w:hAnsi="宋体" w:eastAsia="宋体" w:cs="宋体"/>
          <w:bCs w:val="0"/>
          <w:snapToGrid/>
          <w:kern w:val="2"/>
          <w:sz w:val="28"/>
          <w:szCs w:val="28"/>
          <w:highlight w:val="none"/>
          <w:u w:val="none"/>
          <w:lang w:eastAsia="zh-CN"/>
        </w:rPr>
        <w:t>2</w:t>
      </w:r>
      <w:r>
        <w:rPr>
          <w:rFonts w:hint="eastAsia" w:ascii="宋体" w:hAnsi="宋体" w:eastAsia="宋体" w:cs="宋体"/>
          <w:bCs w:val="0"/>
          <w:snapToGrid/>
          <w:kern w:val="2"/>
          <w:sz w:val="28"/>
          <w:szCs w:val="28"/>
          <w:highlight w:val="none"/>
          <w:u w:val="none"/>
        </w:rPr>
        <w:t>日，且</w:t>
      </w:r>
      <w:r>
        <w:rPr>
          <w:rFonts w:hint="eastAsia" w:ascii="宋体" w:hAnsi="宋体" w:eastAsia="宋体" w:cs="宋体"/>
          <w:b w:val="0"/>
          <w:bCs w:val="0"/>
          <w:i w:val="0"/>
          <w:iCs w:val="0"/>
          <w:snapToGrid/>
          <w:kern w:val="2"/>
          <w:sz w:val="28"/>
          <w:szCs w:val="28"/>
          <w:highlight w:val="none"/>
          <w:u w:val="none"/>
          <w:lang w:val="en-US" w:eastAsia="zh-CN"/>
        </w:rPr>
        <w:t>培训费用由中标人承担。</w:t>
      </w:r>
    </w:p>
    <w:p w14:paraId="3BE02777">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十、双方的权利和义务</w:t>
      </w:r>
    </w:p>
    <w:p w14:paraId="373493A1">
      <w:pPr>
        <w:pageBreakBefore w:val="0"/>
        <w:widowControl w:val="0"/>
        <w:numPr>
          <w:ilvl w:val="0"/>
          <w:numId w:val="0"/>
        </w:numPr>
        <w:tabs>
          <w:tab w:val="left" w:pos="0"/>
        </w:tabs>
        <w:kinsoku/>
        <w:overflowPunct/>
        <w:autoSpaceDE/>
        <w:autoSpaceDN/>
        <w:bidi w:val="0"/>
        <w:adjustRightInd w:val="0"/>
        <w:snapToGrid w:val="0"/>
        <w:spacing w:line="320" w:lineRule="exact"/>
        <w:ind w:firstLine="60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30"/>
          <w:szCs w:val="30"/>
          <w:highlight w:val="none"/>
          <w:lang w:eastAsia="zh-CN"/>
        </w:rPr>
        <w:t>（</w:t>
      </w:r>
      <w:r>
        <w:rPr>
          <w:rFonts w:hint="eastAsia" w:ascii="宋体" w:hAnsi="宋体" w:eastAsia="宋体" w:cs="宋体"/>
          <w:b w:val="0"/>
          <w:bCs w:val="0"/>
          <w:snapToGrid/>
          <w:color w:val="auto"/>
          <w:kern w:val="2"/>
          <w:sz w:val="28"/>
          <w:szCs w:val="28"/>
          <w:highlight w:val="none"/>
          <w:lang w:val="en-US" w:eastAsia="zh-CN"/>
        </w:rPr>
        <w:t>一）甲方的权利和义务</w:t>
      </w:r>
    </w:p>
    <w:p w14:paraId="7CBFE64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 负责合同签订后项目实施的工作；</w:t>
      </w:r>
    </w:p>
    <w:p w14:paraId="145EFFA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 负责提供实施明细。</w:t>
      </w:r>
    </w:p>
    <w:p w14:paraId="141C5E5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 负责组织成立验收小组对项目进行验收并签署验收报告；</w:t>
      </w:r>
    </w:p>
    <w:p w14:paraId="662F6E5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 按合同规定接受乙方提供的货物及服务；</w:t>
      </w:r>
    </w:p>
    <w:p w14:paraId="5A14B18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 按相关采购规定落实采购资金并办理采购资金支付手续。</w:t>
      </w:r>
    </w:p>
    <w:p w14:paraId="3B0FF70A">
      <w:pPr>
        <w:pageBreakBefore w:val="0"/>
        <w:widowControl w:val="0"/>
        <w:numPr>
          <w:ilvl w:val="0"/>
          <w:numId w:val="6"/>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乙方的权利和义务</w:t>
      </w:r>
    </w:p>
    <w:p w14:paraId="5B676AA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 乙方保证按合同条款负责完成甲方项目，并保证提供的货物是全新、符合采购文件、具有国家有关部门注册并符合国家质量检测标准和产品出厂标准的产品；</w:t>
      </w:r>
    </w:p>
    <w:p w14:paraId="1239CC2E">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 保证甲方在产品使用期间不受第三方提出侵犯其专利权、商标权和工业设计权的起诉；</w:t>
      </w:r>
    </w:p>
    <w:p w14:paraId="5BAEE1C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 严格遵守响应文件中所承诺的一切规定和条款；</w:t>
      </w:r>
    </w:p>
    <w:p w14:paraId="4406568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 参与甲方共同进行货物和项目的验收；</w:t>
      </w:r>
    </w:p>
    <w:p w14:paraId="79AD26D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 按合同规定收取合同款项；</w:t>
      </w:r>
    </w:p>
    <w:p w14:paraId="0C1924A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left"/>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6.乙方必须按甲方指定时间按时交付货物，逾期产生的任何影响由乙方全权负责</w:t>
      </w:r>
    </w:p>
    <w:bookmarkEnd w:id="201"/>
    <w:p w14:paraId="3CE13F70">
      <w:pPr>
        <w:widowControl w:val="0"/>
        <w:tabs>
          <w:tab w:val="left" w:pos="0"/>
        </w:tabs>
        <w:kinsoku/>
        <w:autoSpaceDE/>
        <w:autoSpaceDN/>
        <w:adjustRightInd w:val="0"/>
        <w:snapToGrid w:val="0"/>
        <w:spacing w:line="320" w:lineRule="exact"/>
        <w:ind w:firstLine="562"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b/>
          <w:bCs/>
          <w:snapToGrid/>
          <w:kern w:val="2"/>
          <w:sz w:val="28"/>
          <w:szCs w:val="28"/>
          <w:lang w:val="en-US" w:eastAsia="zh-CN"/>
        </w:rPr>
        <w:t>十一、</w:t>
      </w:r>
      <w:r>
        <w:rPr>
          <w:rFonts w:hint="eastAsia" w:ascii="宋体" w:hAnsi="宋体" w:eastAsia="宋体" w:cs="宋体"/>
          <w:b/>
          <w:bCs/>
          <w:snapToGrid/>
          <w:kern w:val="2"/>
          <w:sz w:val="28"/>
          <w:szCs w:val="28"/>
        </w:rPr>
        <w:t>履约保证金要求</w:t>
      </w:r>
    </w:p>
    <w:p w14:paraId="6EF3B7E0">
      <w:pPr>
        <w:widowControl w:val="0"/>
        <w:tabs>
          <w:tab w:val="left" w:pos="0"/>
        </w:tabs>
        <w:kinsoku/>
        <w:autoSpaceDE/>
        <w:autoSpaceDN/>
        <w:adjustRightInd/>
        <w:snapToGrid/>
        <w:spacing w:line="400" w:lineRule="exact"/>
        <w:ind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（1）履约保证金为合同金额的百分之五，即      元（大写：人民币      ），乙方应在成交通知书发出之日起至合同签订前，以银行转账的形式向甲方提交履约保证金。</w:t>
      </w:r>
    </w:p>
    <w:p w14:paraId="18B24700">
      <w:pPr>
        <w:widowControl w:val="0"/>
        <w:tabs>
          <w:tab w:val="left" w:pos="0"/>
        </w:tabs>
        <w:kinsoku/>
        <w:autoSpaceDE/>
        <w:autoSpaceDN/>
        <w:adjustRightInd/>
        <w:snapToGrid/>
        <w:spacing w:line="400" w:lineRule="exact"/>
        <w:ind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履行合同约定(含售后服务)完毕且验收合格后，10个日历天内无息退还乙方应退部分履约保证金。若因乙方不及时或未提供“收到退还履约保证金的收据”、“履约保证金退还申请”的，则甲方不承担任何责任。</w:t>
      </w:r>
    </w:p>
    <w:p w14:paraId="539E8D44">
      <w:pPr>
        <w:widowControl w:val="0"/>
        <w:tabs>
          <w:tab w:val="left" w:pos="-320"/>
        </w:tabs>
        <w:kinsoku/>
        <w:autoSpaceDE/>
        <w:autoSpaceDN/>
        <w:adjustRightInd/>
        <w:snapToGrid/>
        <w:spacing w:line="400" w:lineRule="exact"/>
        <w:ind w:right="-14" w:firstLine="560" w:firstLineChars="2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（3）履约保证金汇入的银行及账号：</w:t>
      </w:r>
    </w:p>
    <w:p w14:paraId="5425DE58">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户    名：成都市技师学院</w:t>
      </w:r>
    </w:p>
    <w:p w14:paraId="42577750">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开户银行：工行四川成都分行郫都红光支行</w:t>
      </w:r>
    </w:p>
    <w:p w14:paraId="20DB1B0E">
      <w:pPr>
        <w:widowControl w:val="0"/>
        <w:tabs>
          <w:tab w:val="left" w:pos="0"/>
        </w:tabs>
        <w:kinsoku/>
        <w:autoSpaceDE/>
        <w:autoSpaceDN/>
        <w:adjustRightInd/>
        <w:snapToGrid/>
        <w:spacing w:line="400" w:lineRule="exact"/>
        <w:ind w:left="645" w:leftChars="174" w:hanging="280" w:hangingChars="100"/>
        <w:jc w:val="both"/>
        <w:textAlignment w:val="auto"/>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银行账号：4402054609100031151</w:t>
      </w:r>
    </w:p>
    <w:p w14:paraId="4477C119">
      <w:pPr>
        <w:pageBreakBefore w:val="0"/>
        <w:widowControl/>
        <w:numPr>
          <w:ilvl w:val="0"/>
          <w:numId w:val="0"/>
        </w:numPr>
        <w:tabs>
          <w:tab w:val="left" w:pos="0"/>
        </w:tabs>
        <w:kinsoku/>
        <w:overflowPunct/>
        <w:autoSpaceDE/>
        <w:autoSpaceDN/>
        <w:bidi w:val="0"/>
        <w:adjustRightInd/>
        <w:snapToGrid/>
        <w:spacing w:line="40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val="0"/>
          <w:kern w:val="2"/>
          <w:sz w:val="28"/>
          <w:szCs w:val="28"/>
        </w:rPr>
        <w:t>履约保证金不予退还情形:一是</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未按合同要求履行的，其履约保证金全部扣除。二是</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缴纳了履约保证金，但因自身原因被取消成交资格或在成交通知书发出之日起30日内(含法定节假日)</w:t>
      </w:r>
      <w:r>
        <w:rPr>
          <w:rFonts w:hint="eastAsia" w:ascii="宋体" w:hAnsi="宋体" w:eastAsia="宋体" w:cs="宋体"/>
          <w:snapToGrid w:val="0"/>
          <w:kern w:val="2"/>
          <w:sz w:val="28"/>
          <w:szCs w:val="28"/>
          <w:lang w:val="en-US" w:eastAsia="zh-CN"/>
        </w:rPr>
        <w:t>乙方</w:t>
      </w:r>
      <w:r>
        <w:rPr>
          <w:rFonts w:hint="eastAsia" w:ascii="宋体" w:hAnsi="宋体" w:eastAsia="宋体" w:cs="宋体"/>
          <w:snapToGrid w:val="0"/>
          <w:kern w:val="2"/>
          <w:sz w:val="28"/>
          <w:szCs w:val="28"/>
        </w:rPr>
        <w:t>不按</w:t>
      </w:r>
      <w:r>
        <w:rPr>
          <w:rFonts w:hint="eastAsia" w:ascii="宋体" w:hAnsi="宋体" w:eastAsia="宋体" w:cs="宋体"/>
          <w:snapToGrid w:val="0"/>
          <w:kern w:val="2"/>
          <w:sz w:val="28"/>
          <w:szCs w:val="28"/>
          <w:lang w:val="en-US" w:eastAsia="zh-CN"/>
        </w:rPr>
        <w:t>招标</w:t>
      </w:r>
      <w:r>
        <w:rPr>
          <w:rFonts w:hint="eastAsia" w:ascii="宋体" w:hAnsi="宋体" w:eastAsia="宋体" w:cs="宋体"/>
          <w:snapToGrid w:val="0"/>
          <w:kern w:val="2"/>
          <w:sz w:val="28"/>
          <w:szCs w:val="28"/>
        </w:rPr>
        <w:t>文件确定的事项与</w:t>
      </w:r>
      <w:r>
        <w:rPr>
          <w:rFonts w:hint="eastAsia" w:ascii="宋体" w:hAnsi="宋体" w:eastAsia="宋体" w:cs="宋体"/>
          <w:snapToGrid w:val="0"/>
          <w:kern w:val="2"/>
          <w:sz w:val="28"/>
          <w:szCs w:val="28"/>
          <w:lang w:val="en-US" w:eastAsia="zh-CN"/>
        </w:rPr>
        <w:t>甲方</w:t>
      </w:r>
      <w:r>
        <w:rPr>
          <w:rFonts w:hint="eastAsia" w:ascii="宋体" w:hAnsi="宋体" w:eastAsia="宋体" w:cs="宋体"/>
          <w:snapToGrid w:val="0"/>
          <w:kern w:val="2"/>
          <w:sz w:val="28"/>
          <w:szCs w:val="28"/>
        </w:rPr>
        <w:t>签订合同的，其履约保证金不予退还。三是法律法规或合同约定的其他情形。</w:t>
      </w:r>
    </w:p>
    <w:p w14:paraId="5FC80FA0">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十一、验收、交付标准和方法</w:t>
      </w:r>
    </w:p>
    <w:p w14:paraId="21F7754A">
      <w:pPr>
        <w:keepNext/>
        <w:keepLines/>
        <w:pageBreakBefore w:val="0"/>
        <w:widowControl w:val="0"/>
        <w:tabs>
          <w:tab w:val="left" w:pos="0"/>
        </w:tabs>
        <w:kinsoku/>
        <w:wordWrap/>
        <w:overflowPunct/>
        <w:topLinePunct w:val="0"/>
        <w:autoSpaceDE/>
        <w:autoSpaceDN/>
        <w:bidi w:val="0"/>
        <w:adjustRightInd w:val="0"/>
        <w:snapToGrid w:val="0"/>
        <w:spacing w:before="0" w:after="0" w:line="320" w:lineRule="exact"/>
        <w:ind w:firstLine="560" w:firstLineChars="200"/>
        <w:jc w:val="left"/>
        <w:textAlignment w:val="auto"/>
        <w:outlineLvl w:val="1"/>
        <w:rPr>
          <w:rFonts w:hint="eastAsia" w:ascii="宋体" w:hAnsi="宋体" w:eastAsia="宋体" w:cs="宋体"/>
          <w:b w:val="0"/>
          <w:bCs w:val="0"/>
          <w:color w:val="auto"/>
          <w:kern w:val="2"/>
          <w:sz w:val="28"/>
          <w:szCs w:val="28"/>
          <w:highlight w:val="none"/>
          <w:lang w:val="en-US" w:eastAsia="zh-CN" w:bidi="ar-SA"/>
        </w:rPr>
      </w:pPr>
      <w:bookmarkStart w:id="202" w:name="_Toc28941"/>
      <w:r>
        <w:rPr>
          <w:rFonts w:hint="eastAsia" w:ascii="宋体" w:hAnsi="宋体" w:eastAsia="宋体" w:cs="宋体"/>
          <w:b w:val="0"/>
          <w:bCs w:val="0"/>
          <w:color w:val="auto"/>
          <w:kern w:val="2"/>
          <w:sz w:val="28"/>
          <w:szCs w:val="28"/>
          <w:highlight w:val="none"/>
          <w:lang w:val="en-US" w:eastAsia="zh-CN" w:bidi="ar-SA"/>
        </w:rPr>
        <w:t>1.验收主体：甲方。</w:t>
      </w:r>
    </w:p>
    <w:p w14:paraId="3239439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2.验收时间：</w:t>
      </w:r>
      <w:r>
        <w:rPr>
          <w:rFonts w:hint="eastAsia" w:ascii="宋体" w:hAnsi="宋体" w:eastAsia="宋体" w:cs="宋体"/>
          <w:snapToGrid/>
          <w:color w:val="auto"/>
          <w:kern w:val="2"/>
          <w:sz w:val="28"/>
          <w:szCs w:val="28"/>
          <w:highlight w:val="none"/>
        </w:rPr>
        <w:t>乙方完成项目所有服务内容后，书面通知甲方进行验收，甲方自收到乙方验收申请之日起10个日历天内进行验收</w:t>
      </w:r>
      <w:r>
        <w:rPr>
          <w:rFonts w:hint="eastAsia" w:ascii="宋体" w:hAnsi="宋体" w:eastAsia="宋体" w:cs="宋体"/>
          <w:b w:val="0"/>
          <w:bCs w:val="0"/>
          <w:snapToGrid/>
          <w:color w:val="auto"/>
          <w:kern w:val="2"/>
          <w:sz w:val="28"/>
          <w:szCs w:val="28"/>
          <w:highlight w:val="none"/>
          <w:lang w:val="en-US" w:eastAsia="zh-CN"/>
        </w:rPr>
        <w:t>。</w:t>
      </w:r>
    </w:p>
    <w:p w14:paraId="3C6F01F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3.验收方式(方法)：</w:t>
      </w:r>
      <w:r>
        <w:rPr>
          <w:rFonts w:hint="eastAsia" w:ascii="宋体" w:hAnsi="宋体" w:eastAsia="宋体" w:cs="宋体"/>
          <w:snapToGrid/>
          <w:color w:val="auto"/>
          <w:kern w:val="2"/>
          <w:sz w:val="28"/>
          <w:szCs w:val="28"/>
          <w:highlight w:val="none"/>
        </w:rPr>
        <w:t>单位内部验收</w:t>
      </w:r>
      <w:r>
        <w:rPr>
          <w:rFonts w:hint="eastAsia" w:ascii="宋体" w:hAnsi="宋体" w:eastAsia="宋体" w:cs="宋体"/>
          <w:b w:val="0"/>
          <w:bCs w:val="0"/>
          <w:snapToGrid/>
          <w:color w:val="auto"/>
          <w:kern w:val="2"/>
          <w:sz w:val="28"/>
          <w:szCs w:val="28"/>
          <w:highlight w:val="none"/>
          <w:lang w:val="en-US" w:eastAsia="zh-CN"/>
        </w:rPr>
        <w:t>。</w:t>
      </w:r>
    </w:p>
    <w:p w14:paraId="1A586BC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4.验收程序：</w:t>
      </w:r>
      <w:r>
        <w:rPr>
          <w:rFonts w:hint="eastAsia" w:ascii="宋体" w:hAnsi="宋体" w:eastAsia="宋体" w:cs="宋体"/>
          <w:snapToGrid/>
          <w:color w:val="auto"/>
          <w:kern w:val="2"/>
          <w:sz w:val="28"/>
          <w:szCs w:val="28"/>
          <w:highlight w:val="none"/>
        </w:rPr>
        <w:t>乙方完成项目所有服务内容后，书面通知甲方进行验收，甲方自收到乙方验收申请之日起10个日历天内组织3人及以上单数的验收小组进行现场验收；验收合格，则签署《验收报告单》；若验收不合格，乙方应在接到甲方整改通知之日起10个日历天内完成整改，再由甲方组织重新验收，若再次验收不合格视为乙方不能履约，甲方有权终止合同，并按合同约定追究乙方未按合同约定交付资源及服务的违约责任</w:t>
      </w:r>
      <w:r>
        <w:rPr>
          <w:rFonts w:hint="eastAsia" w:ascii="宋体" w:hAnsi="宋体" w:eastAsia="宋体" w:cs="宋体"/>
          <w:b w:val="0"/>
          <w:bCs w:val="0"/>
          <w:snapToGrid/>
          <w:color w:val="auto"/>
          <w:kern w:val="2"/>
          <w:sz w:val="28"/>
          <w:szCs w:val="28"/>
          <w:highlight w:val="none"/>
          <w:lang w:val="en-US" w:eastAsia="zh-CN"/>
        </w:rPr>
        <w:t>。</w:t>
      </w:r>
    </w:p>
    <w:p w14:paraId="3D22B81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5.验收内容：</w:t>
      </w:r>
      <w:r>
        <w:rPr>
          <w:rFonts w:hint="eastAsia" w:ascii="宋体" w:hAnsi="宋体" w:eastAsia="宋体" w:cs="宋体"/>
          <w:snapToGrid/>
          <w:color w:val="auto"/>
          <w:kern w:val="2"/>
          <w:sz w:val="28"/>
          <w:szCs w:val="28"/>
          <w:highlight w:val="none"/>
        </w:rPr>
        <w:t>乙方完成项目服务内容的数量、质量以及乙方对商务要求的履约情况</w:t>
      </w:r>
      <w:r>
        <w:rPr>
          <w:rFonts w:hint="eastAsia" w:ascii="宋体" w:hAnsi="宋体" w:eastAsia="宋体" w:cs="宋体"/>
          <w:b w:val="0"/>
          <w:bCs w:val="0"/>
          <w:snapToGrid/>
          <w:color w:val="auto"/>
          <w:kern w:val="2"/>
          <w:sz w:val="28"/>
          <w:szCs w:val="28"/>
          <w:highlight w:val="none"/>
          <w:lang w:val="en-US" w:eastAsia="zh-CN"/>
        </w:rPr>
        <w:t>。</w:t>
      </w:r>
    </w:p>
    <w:p w14:paraId="7D61F3E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6.验收标准：</w:t>
      </w:r>
      <w:r>
        <w:rPr>
          <w:rFonts w:hint="eastAsia" w:ascii="宋体" w:hAnsi="宋体" w:eastAsia="宋体" w:cs="宋体"/>
          <w:snapToGrid/>
          <w:color w:val="auto"/>
          <w:kern w:val="2"/>
          <w:sz w:val="28"/>
          <w:szCs w:val="28"/>
          <w:highlight w:val="none"/>
        </w:rPr>
        <w:t>按</w:t>
      </w:r>
      <w:r>
        <w:rPr>
          <w:rFonts w:hint="eastAsia" w:ascii="宋体" w:hAnsi="宋体" w:eastAsia="宋体" w:cs="宋体"/>
          <w:snapToGrid/>
          <w:color w:val="auto"/>
          <w:kern w:val="2"/>
          <w:sz w:val="28"/>
          <w:szCs w:val="28"/>
          <w:highlight w:val="none"/>
          <w:lang w:val="en-US" w:eastAsia="zh-CN"/>
        </w:rPr>
        <w:t>招标文件</w:t>
      </w:r>
      <w:r>
        <w:rPr>
          <w:rFonts w:hint="eastAsia" w:ascii="宋体" w:hAnsi="宋体" w:eastAsia="宋体" w:cs="宋体"/>
          <w:snapToGrid/>
          <w:color w:val="auto"/>
          <w:kern w:val="2"/>
          <w:sz w:val="28"/>
          <w:szCs w:val="28"/>
          <w:highlight w:val="none"/>
        </w:rPr>
        <w:t>的质量要求和技术指标、乙方的</w:t>
      </w:r>
      <w:r>
        <w:rPr>
          <w:rFonts w:hint="eastAsia" w:ascii="宋体" w:hAnsi="宋体" w:eastAsia="宋体" w:cs="宋体"/>
          <w:snapToGrid/>
          <w:color w:val="auto"/>
          <w:kern w:val="2"/>
          <w:sz w:val="28"/>
          <w:szCs w:val="28"/>
          <w:highlight w:val="none"/>
          <w:lang w:val="en-US" w:eastAsia="zh-CN"/>
        </w:rPr>
        <w:t>投标文件</w:t>
      </w:r>
      <w:r>
        <w:rPr>
          <w:rFonts w:hint="eastAsia" w:ascii="宋体" w:hAnsi="宋体" w:eastAsia="宋体" w:cs="宋体"/>
          <w:snapToGrid/>
          <w:color w:val="auto"/>
          <w:kern w:val="2"/>
          <w:sz w:val="28"/>
          <w:szCs w:val="28"/>
          <w:highlight w:val="none"/>
        </w:rPr>
        <w:t>及承诺、合同约定进行验收。</w:t>
      </w:r>
    </w:p>
    <w:p w14:paraId="18B7C39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kern w:val="2"/>
          <w:sz w:val="28"/>
          <w:szCs w:val="28"/>
          <w:lang w:val="en-US" w:eastAsia="zh-CN"/>
        </w:rPr>
      </w:pPr>
      <w:r>
        <w:rPr>
          <w:rFonts w:hint="eastAsia" w:ascii="宋体" w:hAnsi="宋体" w:eastAsia="宋体" w:cs="宋体"/>
          <w:b w:val="0"/>
          <w:bCs w:val="0"/>
          <w:snapToGrid/>
          <w:color w:val="auto"/>
          <w:kern w:val="2"/>
          <w:sz w:val="28"/>
          <w:szCs w:val="28"/>
          <w:highlight w:val="none"/>
          <w:lang w:val="en-US" w:eastAsia="zh-CN"/>
        </w:rPr>
        <w:t>7</w:t>
      </w:r>
      <w:r>
        <w:rPr>
          <w:rFonts w:hint="eastAsia" w:ascii="宋体" w:hAnsi="宋体" w:eastAsia="宋体" w:cs="宋体"/>
          <w:b w:val="0"/>
          <w:bCs w:val="0"/>
          <w:snapToGrid/>
          <w:color w:val="auto"/>
          <w:kern w:val="2"/>
          <w:sz w:val="28"/>
          <w:szCs w:val="28"/>
          <w:highlight w:val="none"/>
          <w:lang w:val="en-US" w:eastAsia="zh-CN" w:bidi="ar-SA"/>
        </w:rPr>
        <w:t>.交付标准和方法</w:t>
      </w:r>
      <w:r>
        <w:rPr>
          <w:rFonts w:hint="eastAsia" w:ascii="宋体" w:hAnsi="宋体" w:eastAsia="宋体" w:cs="宋体"/>
          <w:b w:val="0"/>
          <w:bCs w:val="0"/>
          <w:snapToGrid/>
          <w:color w:val="auto"/>
          <w:kern w:val="2"/>
          <w:sz w:val="28"/>
          <w:szCs w:val="28"/>
          <w:highlight w:val="none"/>
          <w:lang w:val="en-US" w:eastAsia="zh-CN"/>
        </w:rPr>
        <w:t>：质量要求合格，交货至甲方指定地点,安装调试完成，符合国家强制性规定验收标准并通过甲方验收合格。</w:t>
      </w:r>
    </w:p>
    <w:p w14:paraId="49845E8F">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十二、解决争议的方法</w:t>
      </w:r>
      <w:bookmarkEnd w:id="202"/>
    </w:p>
    <w:p w14:paraId="0558D8D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3" w:name="_Toc12788"/>
      <w:r>
        <w:rPr>
          <w:rFonts w:hint="eastAsia" w:ascii="宋体" w:hAnsi="宋体" w:eastAsia="宋体" w:cs="宋体"/>
          <w:b w:val="0"/>
          <w:bCs w:val="0"/>
          <w:snapToGrid/>
          <w:color w:val="auto"/>
          <w:kern w:val="2"/>
          <w:sz w:val="28"/>
          <w:szCs w:val="28"/>
          <w:highlight w:val="none"/>
          <w:lang w:val="en-US" w:eastAsia="zh-CN"/>
        </w:rPr>
        <w:t>1.合同履行过程中发生争议时，双方本着真诚合作的精神，通过友好协商解决。</w:t>
      </w:r>
    </w:p>
    <w:p w14:paraId="4FC3706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2.若执行本合同的过程中发生纠纷，双方当事人应当及时协商解决；协商不成时，则提交甲方所在地人民法院提起诉讼。</w:t>
      </w:r>
    </w:p>
    <w:p w14:paraId="7EBCBF3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3.在诉讼期间，合同中未涉及争议部分的条款仍须履行。</w:t>
      </w:r>
    </w:p>
    <w:p w14:paraId="22F46947">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4.因一方违约导致本合同解除的，守约方为主张权益引发诉讼产生的诉讼费用（包括但不限于：律师费、诉讼费、保全费、鉴定费、翻译费等全部费用损失）由违约方承担。</w:t>
      </w:r>
    </w:p>
    <w:p w14:paraId="35CE624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十三、知识产权</w:t>
      </w:r>
      <w:bookmarkEnd w:id="203"/>
    </w:p>
    <w:p w14:paraId="521810A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bookmarkStart w:id="204" w:name="_Toc28329"/>
      <w:r>
        <w:rPr>
          <w:rFonts w:hint="eastAsia" w:ascii="宋体" w:hAnsi="宋体" w:eastAsia="宋体" w:cs="宋体"/>
          <w:snapToGrid/>
          <w:color w:val="auto"/>
          <w:kern w:val="2"/>
          <w:sz w:val="28"/>
          <w:szCs w:val="28"/>
          <w:highlight w:val="none"/>
        </w:rPr>
        <w:t>1.乙方应保证在本项目中提供的任何资源及服务(包括部分提供),不会侵犯第三方专利权、商标权或其它知识产权以及其他合法权益，如因专利权、商标权或其它知识产权以及其他权利瑕疵而引起法律和经济纠纷，由乙方承担所有全部责任，乙方应积极排除甲方使用本项目相关资源的障碍，甲方因此遭受的损失(包括但不限于因此向第三方支付的赔偿金、违约金等，以及因此支出的诉讼费用、律师费、保全费等)均由乙方承担；损失难以计算的，乙方应按合同总金额的百分之二十向甲方支付赔偿金。若因乙方侵权行为导致甲方无法继续使用相关资源及服务的，乙方还应当退还甲方支付的全部费用。</w:t>
      </w:r>
    </w:p>
    <w:p w14:paraId="72C5A524">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2.乙方履行本合同产生的知识成果、知识产权均归甲方所有。</w:t>
      </w:r>
    </w:p>
    <w:p w14:paraId="50DB7BFD">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十四、合同的变更和终止</w:t>
      </w:r>
      <w:bookmarkEnd w:id="204"/>
    </w:p>
    <w:p w14:paraId="12D8EC6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rPr>
        <w:t>1.本合同履行中，甲方需追加与合同标的相同的货物、服务、工程的，在不改变合同其他条款的前提下，可以与乙方协商签订补充合同，但所有补充合同的采购金额不得超过原合同采购金额的百分之十。</w:t>
      </w:r>
    </w:p>
    <w:p w14:paraId="2200C27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rPr>
        <w:t>2.合同继续履行将损害国家利益和社会公共利益的，双方当事人应当变更、中止或者终止合同。有过错的一方应当承担赔偿责任，双方都有过错的，各自承担相应的责任。</w:t>
      </w:r>
    </w:p>
    <w:p w14:paraId="259AFF30">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除以上两条规定的情形外，本合同一经签订，甲乙双方不得擅自变更、中止或终止合同。</w:t>
      </w:r>
    </w:p>
    <w:p w14:paraId="2DAFF7FC">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bookmarkStart w:id="205" w:name="_Toc25301"/>
      <w:r>
        <w:rPr>
          <w:rFonts w:hint="eastAsia" w:ascii="宋体" w:hAnsi="宋体" w:eastAsia="宋体" w:cs="宋体"/>
          <w:b/>
          <w:bCs/>
          <w:snapToGrid/>
          <w:color w:val="auto"/>
          <w:kern w:val="2"/>
          <w:sz w:val="28"/>
          <w:szCs w:val="28"/>
          <w:highlight w:val="none"/>
          <w:lang w:val="en-US" w:eastAsia="zh-CN"/>
        </w:rPr>
        <w:t>十五、违约责任</w:t>
      </w:r>
      <w:bookmarkEnd w:id="205"/>
    </w:p>
    <w:p w14:paraId="59148E96">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6" w:name="_Toc28730"/>
      <w:r>
        <w:rPr>
          <w:rFonts w:hint="eastAsia" w:ascii="宋体" w:hAnsi="宋体" w:eastAsia="宋体" w:cs="宋体"/>
          <w:b w:val="0"/>
          <w:bCs w:val="0"/>
          <w:snapToGrid/>
          <w:color w:val="auto"/>
          <w:kern w:val="2"/>
          <w:sz w:val="28"/>
          <w:szCs w:val="28"/>
          <w:highlight w:val="none"/>
          <w:lang w:val="en-US" w:eastAsia="zh-CN"/>
        </w:rPr>
        <w:t>（一）甲方违约责任</w:t>
      </w:r>
    </w:p>
    <w:p w14:paraId="3E9F41B1">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1.甲方无正当理由拒收货物，甲方向乙方偿付合同款总价百分之二十的违约金；逾期支付合同款将向乙方每日偿付欠款总额万分之二</w:t>
      </w:r>
      <w:r>
        <w:rPr>
          <w:rFonts w:hint="eastAsia" w:ascii="宋体" w:hAnsi="宋体" w:eastAsia="宋体" w:cs="宋体"/>
          <w:b w:val="0"/>
          <w:bCs w:val="0"/>
          <w:snapToGrid/>
          <w:color w:val="auto"/>
          <w:kern w:val="2"/>
          <w:sz w:val="28"/>
          <w:szCs w:val="28"/>
          <w:highlight w:val="none"/>
          <w:u w:val="single"/>
          <w:lang w:val="en-US" w:eastAsia="zh-CN"/>
        </w:rPr>
        <w:t xml:space="preserve">       </w:t>
      </w:r>
      <w:r>
        <w:rPr>
          <w:rFonts w:hint="eastAsia" w:ascii="宋体" w:hAnsi="宋体" w:eastAsia="宋体" w:cs="宋体"/>
          <w:b w:val="0"/>
          <w:bCs w:val="0"/>
          <w:snapToGrid/>
          <w:color w:val="auto"/>
          <w:kern w:val="2"/>
          <w:sz w:val="28"/>
          <w:szCs w:val="28"/>
          <w:highlight w:val="none"/>
          <w:lang w:val="en-US" w:eastAsia="zh-CN"/>
        </w:rPr>
        <w:t xml:space="preserve"> 的滞纳金。</w:t>
      </w:r>
    </w:p>
    <w:p w14:paraId="5DA4D0D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lang w:eastAsia="zh-CN"/>
        </w:rPr>
        <w:t>2</w:t>
      </w:r>
      <w:r>
        <w:rPr>
          <w:rFonts w:hint="eastAsia" w:ascii="宋体" w:hAnsi="宋体" w:eastAsia="宋体" w:cs="宋体"/>
          <w:snapToGrid/>
          <w:color w:val="auto"/>
          <w:kern w:val="2"/>
          <w:sz w:val="28"/>
          <w:szCs w:val="28"/>
          <w:highlight w:val="none"/>
        </w:rPr>
        <w:t>.甲方偿付的违约金不足以弥补乙方损失的，还应按乙方损失尚未弥补的部分，支付赔偿金给乙方。</w:t>
      </w:r>
    </w:p>
    <w:p w14:paraId="18CAABFB">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（二）乙方违约责任</w:t>
      </w:r>
    </w:p>
    <w:bookmarkEnd w:id="206"/>
    <w:p w14:paraId="3CA9188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乙方须按合同约定交付资源及服务，若乙方交付的资源及服务验收不合格，乙方应在接到甲方整改通知之日起10个日历天内完成整改，再由甲方组织重新验收，若再次验收不合格视为乙方不能履约，甲方有权终止本合同，乙方应另付合同总价的百分之二十的赔偿金给甲方。</w:t>
      </w:r>
    </w:p>
    <w:p w14:paraId="1560510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2.乙方不能交付资源及服务或者拒绝继续履行合同的，甲方有权解除合同并要求乙方按合同总金额的百分之二十支付违约金。</w:t>
      </w:r>
    </w:p>
    <w:p w14:paraId="0ED80C5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乙方因逾期交付资源及服务而违约的，按合同金额的万分之五/天的标准向甲方支付逾期违约金；逾期超过20天，甲方有权终止合同，乙方则应按合同总价的百分之二十的款额向甲方支付违约金，合同终止后，甲方不再向乙方支付任何费用，若已经支付的，乙方须全额退还甲方已经付给乙方的服务款及其利息。</w:t>
      </w:r>
    </w:p>
    <w:p w14:paraId="3F0B506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4.4.乙方偿付的违约金不足以弥补甲方损失的，还应按甲方损失尚未弥补的部分（包括但不限于甲方更换第三方产生的费用、重新招投标的费用等），支付赔偿金给甲方</w:t>
      </w:r>
    </w:p>
    <w:p w14:paraId="6009BAF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十六、不可抗力事件处理</w:t>
      </w:r>
    </w:p>
    <w:p w14:paraId="6F9C67B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1、在合同有效期内，任何一方因不可抗力事件导致不能履行合同，则合同履行期可延长，其延长期与不可抗力影响期相同。</w:t>
      </w:r>
    </w:p>
    <w:p w14:paraId="239A322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2、不可抗力事件发生后，应立即通知对方，并寄送有关权威机构出具的证明。</w:t>
      </w:r>
    </w:p>
    <w:p w14:paraId="610B402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snapToGrid/>
          <w:color w:val="auto"/>
          <w:kern w:val="2"/>
          <w:sz w:val="28"/>
          <w:szCs w:val="28"/>
          <w:highlight w:val="none"/>
        </w:rPr>
        <w:t>3、不可抗力事件延续30天以上，双方应通过友好协商，确定是否继续履行合同。</w:t>
      </w:r>
      <w:bookmarkStart w:id="207" w:name="_Toc31185"/>
    </w:p>
    <w:p w14:paraId="3D8253B3">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bCs/>
          <w:snapToGrid/>
          <w:color w:val="auto"/>
          <w:kern w:val="2"/>
          <w:sz w:val="28"/>
          <w:szCs w:val="28"/>
          <w:highlight w:val="none"/>
        </w:rPr>
      </w:pPr>
      <w:r>
        <w:rPr>
          <w:rFonts w:hint="eastAsia" w:ascii="宋体" w:hAnsi="宋体" w:eastAsia="宋体" w:cs="宋体"/>
          <w:b/>
          <w:bCs/>
          <w:snapToGrid/>
          <w:color w:val="auto"/>
          <w:kern w:val="2"/>
          <w:sz w:val="28"/>
          <w:szCs w:val="28"/>
          <w:highlight w:val="none"/>
        </w:rPr>
        <w:t>十</w:t>
      </w:r>
      <w:r>
        <w:rPr>
          <w:rFonts w:hint="eastAsia" w:ascii="宋体" w:hAnsi="宋体" w:eastAsia="宋体" w:cs="宋体"/>
          <w:b/>
          <w:bCs/>
          <w:snapToGrid/>
          <w:color w:val="auto"/>
          <w:kern w:val="2"/>
          <w:sz w:val="28"/>
          <w:szCs w:val="28"/>
          <w:highlight w:val="none"/>
          <w:lang w:val="en-US" w:eastAsia="zh-CN"/>
        </w:rPr>
        <w:t>七</w:t>
      </w:r>
      <w:r>
        <w:rPr>
          <w:rFonts w:hint="eastAsia" w:ascii="宋体" w:hAnsi="宋体" w:eastAsia="宋体" w:cs="宋体"/>
          <w:b/>
          <w:bCs/>
          <w:snapToGrid/>
          <w:color w:val="auto"/>
          <w:kern w:val="2"/>
          <w:sz w:val="28"/>
          <w:szCs w:val="28"/>
          <w:highlight w:val="none"/>
        </w:rPr>
        <w:t xml:space="preserve">、组成本合同的有关文件 </w:t>
      </w:r>
    </w:p>
    <w:p w14:paraId="7B5783EE">
      <w:pPr>
        <w:pageBreakBefore w:val="0"/>
        <w:widowControl w:val="0"/>
        <w:numPr>
          <w:ilvl w:val="0"/>
          <w:numId w:val="0"/>
        </w:numPr>
        <w:tabs>
          <w:tab w:val="left" w:pos="0"/>
        </w:tabs>
        <w:kinsoku/>
        <w:overflowPunct/>
        <w:autoSpaceDE/>
        <w:autoSpaceDN/>
        <w:bidi w:val="0"/>
        <w:adjustRightInd w:val="0"/>
        <w:snapToGrid w:val="0"/>
        <w:spacing w:line="320" w:lineRule="exact"/>
        <w:ind w:firstLine="843" w:firstLineChars="300"/>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rPr>
        <w:t>下列关于成都市技师学院（成都工贸职业技术学院）路桥工程施工技术仿真系统采购项目(项目编号：XXXX)的</w:t>
      </w:r>
      <w:r>
        <w:rPr>
          <w:rFonts w:hint="eastAsia" w:ascii="宋体" w:hAnsi="宋体" w:eastAsia="宋体" w:cs="宋体"/>
          <w:b/>
          <w:bCs/>
          <w:snapToGrid/>
          <w:color w:val="auto"/>
          <w:kern w:val="2"/>
          <w:sz w:val="28"/>
          <w:szCs w:val="28"/>
          <w:highlight w:val="none"/>
          <w:lang w:val="en-US" w:eastAsia="zh-CN"/>
        </w:rPr>
        <w:t>招标</w:t>
      </w:r>
      <w:r>
        <w:rPr>
          <w:rFonts w:hint="eastAsia" w:ascii="宋体" w:hAnsi="宋体" w:eastAsia="宋体" w:cs="宋体"/>
          <w:b/>
          <w:bCs/>
          <w:snapToGrid/>
          <w:color w:val="auto"/>
          <w:kern w:val="2"/>
          <w:sz w:val="28"/>
          <w:szCs w:val="28"/>
          <w:highlight w:val="none"/>
        </w:rPr>
        <w:t>文件、乙方的</w:t>
      </w:r>
      <w:r>
        <w:rPr>
          <w:rFonts w:hint="eastAsia" w:ascii="宋体" w:hAnsi="宋体" w:eastAsia="宋体" w:cs="宋体"/>
          <w:b/>
          <w:bCs/>
          <w:snapToGrid/>
          <w:color w:val="auto"/>
          <w:kern w:val="2"/>
          <w:sz w:val="28"/>
          <w:szCs w:val="28"/>
          <w:highlight w:val="none"/>
          <w:lang w:val="en-US" w:eastAsia="zh-CN"/>
        </w:rPr>
        <w:t>投标</w:t>
      </w:r>
      <w:r>
        <w:rPr>
          <w:rFonts w:hint="eastAsia" w:ascii="宋体" w:hAnsi="宋体" w:eastAsia="宋体" w:cs="宋体"/>
          <w:b/>
          <w:bCs/>
          <w:snapToGrid/>
          <w:color w:val="auto"/>
          <w:kern w:val="2"/>
          <w:sz w:val="28"/>
          <w:szCs w:val="28"/>
          <w:highlight w:val="none"/>
        </w:rPr>
        <w:t>文件或与本次采购活动方式相适应的文件及有关附件是本合同不可分割的组成部分，与本合同具有同等法律效力，这些文件包括但不限于：</w:t>
      </w:r>
      <w:bookmarkEnd w:id="207"/>
      <w:r>
        <w:rPr>
          <w:rFonts w:hint="eastAsia" w:ascii="宋体" w:hAnsi="宋体" w:eastAsia="宋体" w:cs="宋体"/>
          <w:b/>
          <w:bCs/>
          <w:snapToGrid/>
          <w:color w:val="auto"/>
          <w:kern w:val="2"/>
          <w:sz w:val="28"/>
          <w:szCs w:val="28"/>
          <w:highlight w:val="none"/>
          <w:lang w:val="en-US" w:eastAsia="zh-CN"/>
        </w:rPr>
        <w:t xml:space="preserve">   </w:t>
      </w:r>
    </w:p>
    <w:p w14:paraId="580692D9">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1.甲方的招标文件；</w:t>
      </w:r>
    </w:p>
    <w:p w14:paraId="32D0F1E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2.乙方的投标文件；</w:t>
      </w:r>
    </w:p>
    <w:p w14:paraId="7FF1FE9C">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3.中标通知书；</w:t>
      </w:r>
    </w:p>
    <w:p w14:paraId="1D4CA0D5">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4.本合同列出的附件</w:t>
      </w:r>
    </w:p>
    <w:p w14:paraId="5C0D920E">
      <w:pPr>
        <w:pageBreakBefore w:val="0"/>
        <w:widowControl w:val="0"/>
        <w:numPr>
          <w:ilvl w:val="0"/>
          <w:numId w:val="0"/>
        </w:numPr>
        <w:tabs>
          <w:tab w:val="left" w:pos="0"/>
        </w:tabs>
        <w:kinsoku/>
        <w:overflowPunct/>
        <w:autoSpaceDE/>
        <w:autoSpaceDN/>
        <w:bidi w:val="0"/>
        <w:adjustRightInd w:val="0"/>
        <w:snapToGrid w:val="0"/>
        <w:spacing w:line="320" w:lineRule="exact"/>
        <w:ind w:firstLine="562"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bookmarkStart w:id="208" w:name="_Toc16141"/>
      <w:r>
        <w:rPr>
          <w:rFonts w:hint="eastAsia" w:ascii="宋体" w:hAnsi="宋体" w:eastAsia="宋体" w:cs="宋体"/>
          <w:b/>
          <w:bCs/>
          <w:snapToGrid/>
          <w:color w:val="auto"/>
          <w:kern w:val="2"/>
          <w:sz w:val="28"/>
          <w:szCs w:val="28"/>
          <w:highlight w:val="none"/>
          <w:lang w:val="en-US" w:eastAsia="zh-CN"/>
        </w:rPr>
        <w:t>十八、其他</w:t>
      </w:r>
      <w:bookmarkEnd w:id="208"/>
    </w:p>
    <w:p w14:paraId="09F1805F">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1.本合同自经双方法定代表人或授权代表签字并加盖章后生效。</w:t>
      </w:r>
    </w:p>
    <w:p w14:paraId="75D8C482">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2.如有未尽事宜，由双方依法订立补充合同。</w:t>
      </w:r>
    </w:p>
    <w:p w14:paraId="32A798BA">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3.本合同一式六份，甲方五份，乙方一份，均具有同等法律效力。</w:t>
      </w:r>
    </w:p>
    <w:p w14:paraId="43F82C53">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4.如本合同与甲方的采购文件、乙方的响应文件不一致时，以甲方的采购文件、乙方的响应文件为准。</w:t>
      </w:r>
    </w:p>
    <w:p w14:paraId="6AA3A23D">
      <w:pPr>
        <w:pageBreakBefore w:val="0"/>
        <w:widowControl w:val="0"/>
        <w:numPr>
          <w:ilvl w:val="0"/>
          <w:numId w:val="0"/>
        </w:numPr>
        <w:tabs>
          <w:tab w:val="left" w:pos="0"/>
        </w:tabs>
        <w:kinsoku/>
        <w:overflowPunct/>
        <w:autoSpaceDE/>
        <w:autoSpaceDN/>
        <w:bidi w:val="0"/>
        <w:adjustRightInd w:val="0"/>
        <w:snapToGrid w:val="0"/>
        <w:spacing w:line="320" w:lineRule="exact"/>
        <w:ind w:firstLine="560" w:firstLineChars="200"/>
        <w:jc w:val="both"/>
        <w:textAlignment w:val="auto"/>
        <w:rPr>
          <w:rFonts w:hint="eastAsia" w:ascii="宋体" w:hAnsi="宋体" w:eastAsia="宋体" w:cs="宋体"/>
          <w:snapToGrid/>
          <w:color w:val="auto"/>
          <w:kern w:val="2"/>
          <w:sz w:val="28"/>
          <w:szCs w:val="28"/>
          <w:highlight w:val="none"/>
        </w:rPr>
      </w:pPr>
      <w:r>
        <w:rPr>
          <w:rFonts w:hint="eastAsia" w:ascii="宋体" w:hAnsi="宋体" w:eastAsia="宋体" w:cs="宋体"/>
          <w:snapToGrid/>
          <w:color w:val="auto"/>
          <w:kern w:val="2"/>
          <w:sz w:val="28"/>
          <w:szCs w:val="28"/>
          <w:highlight w:val="none"/>
        </w:rPr>
        <w:t>5.本合同应按照中华人民共和国的现行法律进行解释。</w:t>
      </w:r>
    </w:p>
    <w:p w14:paraId="3ABD25D6">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bCs/>
          <w:snapToGrid/>
          <w:color w:val="auto"/>
          <w:kern w:val="2"/>
          <w:sz w:val="28"/>
          <w:szCs w:val="28"/>
          <w:highlight w:val="none"/>
          <w:lang w:val="en-US" w:eastAsia="zh-CN"/>
        </w:rPr>
      </w:pPr>
      <w:r>
        <w:rPr>
          <w:rFonts w:hint="eastAsia" w:ascii="宋体" w:hAnsi="宋体" w:eastAsia="宋体" w:cs="宋体"/>
          <w:b/>
          <w:bCs/>
          <w:snapToGrid/>
          <w:color w:val="auto"/>
          <w:kern w:val="2"/>
          <w:sz w:val="28"/>
          <w:szCs w:val="28"/>
          <w:highlight w:val="none"/>
          <w:lang w:val="en-US" w:eastAsia="zh-CN"/>
        </w:rPr>
        <w:t>(以下无正文)</w:t>
      </w:r>
    </w:p>
    <w:p w14:paraId="0E1FC042">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 xml:space="preserve">甲方：  （盖章）   </w:t>
      </w:r>
      <w:r>
        <w:rPr>
          <w:rFonts w:hint="eastAsia" w:ascii="宋体" w:hAnsi="宋体" w:eastAsia="宋体" w:cs="宋体"/>
          <w:b w:val="0"/>
          <w:bCs w:val="0"/>
          <w:snapToGrid/>
          <w:color w:val="auto"/>
          <w:kern w:val="2"/>
          <w:sz w:val="28"/>
          <w:szCs w:val="28"/>
          <w:highlight w:val="none"/>
          <w:lang w:val="en-US" w:eastAsia="zh-CN"/>
        </w:rPr>
        <w:tab/>
      </w:r>
      <w:r>
        <w:rPr>
          <w:rFonts w:hint="eastAsia" w:ascii="宋体" w:hAnsi="宋体" w:eastAsia="宋体" w:cs="宋体"/>
          <w:b w:val="0"/>
          <w:bCs w:val="0"/>
          <w:snapToGrid/>
          <w:color w:val="auto"/>
          <w:kern w:val="2"/>
          <w:sz w:val="28"/>
          <w:szCs w:val="28"/>
          <w:highlight w:val="none"/>
          <w:lang w:val="en-US" w:eastAsia="zh-CN"/>
        </w:rPr>
        <w:tab/>
      </w:r>
      <w:r>
        <w:rPr>
          <w:rFonts w:hint="eastAsia" w:ascii="宋体" w:hAnsi="宋体" w:eastAsia="宋体" w:cs="宋体"/>
          <w:b w:val="0"/>
          <w:bCs w:val="0"/>
          <w:snapToGrid/>
          <w:color w:val="auto"/>
          <w:kern w:val="2"/>
          <w:sz w:val="28"/>
          <w:szCs w:val="28"/>
          <w:highlight w:val="none"/>
          <w:lang w:val="en-US" w:eastAsia="zh-CN"/>
        </w:rPr>
        <w:t xml:space="preserve">   乙方：   （盖章）</w:t>
      </w:r>
    </w:p>
    <w:p w14:paraId="5746F3F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法定代表人（授权代表）：    法定代表人（授权代表）：</w:t>
      </w:r>
    </w:p>
    <w:p w14:paraId="6BDBF50C">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地    址：                  地    址：</w:t>
      </w:r>
    </w:p>
    <w:p w14:paraId="41A57A98">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开户银行：                  开户银行：</w:t>
      </w:r>
    </w:p>
    <w:p w14:paraId="233C8CE7">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账    号：                  账    号：</w:t>
      </w:r>
    </w:p>
    <w:p w14:paraId="3A4185C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电    话：                  电    话：</w:t>
      </w:r>
    </w:p>
    <w:p w14:paraId="635DCF64">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传    真：                  传    真：</w:t>
      </w:r>
    </w:p>
    <w:p w14:paraId="07756281">
      <w:pPr>
        <w:pageBreakBefore w:val="0"/>
        <w:widowControl w:val="0"/>
        <w:numPr>
          <w:ilvl w:val="0"/>
          <w:numId w:val="0"/>
        </w:numPr>
        <w:tabs>
          <w:tab w:val="left" w:pos="0"/>
        </w:tabs>
        <w:kinsoku/>
        <w:overflowPunct/>
        <w:autoSpaceDE/>
        <w:autoSpaceDN/>
        <w:bidi w:val="0"/>
        <w:adjustRightInd w:val="0"/>
        <w:snapToGrid w:val="0"/>
        <w:spacing w:line="320" w:lineRule="exact"/>
        <w:jc w:val="both"/>
        <w:textAlignment w:val="auto"/>
        <w:rPr>
          <w:rFonts w:hint="eastAsia" w:ascii="宋体" w:hAnsi="宋体" w:eastAsia="宋体" w:cs="宋体"/>
          <w:b w:val="0"/>
          <w:bCs w:val="0"/>
          <w:snapToGrid/>
          <w:color w:val="auto"/>
          <w:kern w:val="2"/>
          <w:sz w:val="28"/>
          <w:szCs w:val="28"/>
          <w:highlight w:val="none"/>
          <w:lang w:val="en-US" w:eastAsia="zh-CN"/>
        </w:rPr>
      </w:pPr>
      <w:r>
        <w:rPr>
          <w:rFonts w:hint="eastAsia" w:ascii="宋体" w:hAnsi="宋体" w:eastAsia="宋体" w:cs="宋体"/>
          <w:b w:val="0"/>
          <w:bCs w:val="0"/>
          <w:snapToGrid/>
          <w:color w:val="auto"/>
          <w:kern w:val="2"/>
          <w:sz w:val="28"/>
          <w:szCs w:val="28"/>
          <w:highlight w:val="none"/>
          <w:lang w:val="en-US" w:eastAsia="zh-CN"/>
        </w:rPr>
        <w:t>邮    箱：                  邮    箱：</w:t>
      </w:r>
    </w:p>
    <w:p w14:paraId="325CDB0C">
      <w:pPr>
        <w:spacing w:line="240" w:lineRule="auto"/>
        <w:rPr>
          <w:rFonts w:hint="eastAsia" w:ascii="宋体" w:hAnsi="宋体" w:eastAsia="宋体" w:cs="宋体"/>
          <w:color w:val="auto"/>
          <w:sz w:val="22"/>
          <w:szCs w:val="22"/>
          <w:highlight w:val="none"/>
        </w:rPr>
      </w:pPr>
      <w:r>
        <w:rPr>
          <w:rFonts w:hint="eastAsia" w:ascii="宋体" w:hAnsi="宋体" w:eastAsia="宋体" w:cs="宋体"/>
          <w:b w:val="0"/>
          <w:bCs w:val="0"/>
          <w:snapToGrid/>
          <w:color w:val="auto"/>
          <w:kern w:val="2"/>
          <w:sz w:val="28"/>
          <w:szCs w:val="28"/>
          <w:highlight w:val="none"/>
          <w:lang w:val="en-US" w:eastAsia="zh-CN"/>
        </w:rPr>
        <w:t>签约日期：XX年XX月XX日      签约日期：XX年XX月XX日</w:t>
      </w:r>
    </w:p>
    <w:sectPr>
      <w:headerReference r:id="rId46" w:type="default"/>
      <w:footerReference r:id="rId47" w:type="default"/>
      <w:type w:val="continuous"/>
      <w:pgSz w:w="11905" w:h="16838"/>
      <w:pgMar w:top="1417" w:right="1417" w:bottom="1417" w:left="1417" w:header="0" w:footer="1134"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à.ā">
    <w:altName w:val="宋体"/>
    <w:panose1 w:val="00000000000000000000"/>
    <w:charset w:val="86"/>
    <w:family w:val="modern"/>
    <w:pitch w:val="default"/>
    <w:sig w:usb0="00000000" w:usb1="00000000" w:usb2="00000010" w:usb3="00000000" w:csb0="00040000" w:csb1="00000000"/>
  </w:font>
  <w:font w:name="Dutch801 Rm BT">
    <w:altName w:val="Times New Roman"/>
    <w:panose1 w:val="00000000000000000000"/>
    <w:charset w:val="00"/>
    <w:family w:val="roman"/>
    <w:pitch w:val="default"/>
    <w:sig w:usb0="00000000" w:usb1="00000000" w:usb2="00000000" w:usb3="00000000" w:csb0="0000001B"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4AB9">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D46A">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BC171">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3BBC171">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31BF">
    <w:pPr>
      <w:spacing w:line="196" w:lineRule="auto"/>
      <w:ind w:left="40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0F77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A60F77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1C98">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65E94">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465E94">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C0AE">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7CD2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07CD2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BEEA">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F637">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DB3F637">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92B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5439">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E505439">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846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10C4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3C10C4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2186">
    <w:pPr>
      <w:spacing w:line="196" w:lineRule="auto"/>
      <w:ind w:left="41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F005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99F0058">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2C8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8B3E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FF8B3E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0D1E">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90AD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9490AD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AC7F">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A058A">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3EA058A">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1F7F">
    <w:pPr>
      <w:spacing w:line="196" w:lineRule="auto"/>
      <w:ind w:left="41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0167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090167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E3E1">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A2C4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7AA2C4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7483">
    <w:pPr>
      <w:spacing w:line="193"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D1E07">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F7D1E07">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6330">
    <w:pPr>
      <w:spacing w:line="196" w:lineRule="auto"/>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A31E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A9A31E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7C14">
    <w:pPr>
      <w:spacing w:line="196" w:lineRule="auto"/>
      <w:ind w:left="39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4698B">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AB4698B">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5CD1">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C31B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9C31BC">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01E3">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5728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557283">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9CC0">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B2F8D">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DB2F8D">
                    <w:pPr>
                      <w:pStyle w:val="1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C28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350" cy="1320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35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8ACE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4pt;width:10.5pt;mso-position-horizontal:center;mso-position-horizontal-relative:margin;z-index:251663360;mso-width-relative:page;mso-height-relative:page;" filled="f" stroked="f" coordsize="21600,21600" o:gfxdata="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03Bxz0AAAAAMBAAAPAAAAAAAAAAEAIAAAACIAAABkcnMvZG93bnJldi54bWxQSwECFAAUAAAA&#10;CACHTuJAgQ0Jty8CAABVBAAADgAAAAAAAAABACAAAAAfAQAAZHJzL2Uyb0RvYy54bWxQSwUGAAAA&#10;AAYABgBZAQAAwAUAAAAA&#10;">
              <v:fill on="f" focussize="0,0"/>
              <v:stroke on="f" weight="0.5pt"/>
              <v:imagedata o:title=""/>
              <o:lock v:ext="edit" aspectratio="f"/>
              <v:textbox inset="0mm,0mm,0mm,0mm">
                <w:txbxContent>
                  <w:p w14:paraId="0EE8ACED">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666A">
    <w:pPr>
      <w:spacing w:before="3" w:line="360" w:lineRule="exact"/>
      <w:ind w:right="13"/>
      <w:jc w:val="both"/>
      <w:outlineLvl w:val="1"/>
      <w:rPr>
        <w:rFonts w:ascii="宋体" w:hAnsi="宋体" w:eastAsia="宋体" w:cs="宋体"/>
        <w:b/>
        <w:bCs/>
        <w:spacing w:val="18"/>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6C82">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EE66C82">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5B8C">
    <w:pPr>
      <w:pStyle w:val="1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86235">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7F86235">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2977">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1B78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F81B78F">
                    <w:pPr>
                      <w:pStyle w:val="11"/>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B42A">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D464">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9218">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10FC">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F851">
    <w:pPr>
      <w:spacing w:line="426"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4B15">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E66F">
    <w:pPr>
      <w:spacing w:line="426"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60FB">
    <w:pPr>
      <w:pStyle w:val="1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8AA8">
    <w:pPr>
      <w:pStyle w:val="1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090AA">
    <w:pPr>
      <w:pStyle w:val="12"/>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FB14">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9E00">
    <w:pPr>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13C5">
    <w:pPr>
      <w:pStyle w:val="12"/>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44C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6695">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6302">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8886">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2BAB">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A104">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4296">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5B2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4F9BE"/>
    <w:multiLevelType w:val="singleLevel"/>
    <w:tmpl w:val="9CC4F9BE"/>
    <w:lvl w:ilvl="0" w:tentative="0">
      <w:start w:val="2"/>
      <w:numFmt w:val="chineseCounting"/>
      <w:suff w:val="nothing"/>
      <w:lvlText w:val="（%1）"/>
      <w:lvlJc w:val="left"/>
      <w:rPr>
        <w:rFonts w:hint="eastAsia"/>
      </w:rPr>
    </w:lvl>
  </w:abstractNum>
  <w:abstractNum w:abstractNumId="1">
    <w:nsid w:val="C667FA83"/>
    <w:multiLevelType w:val="multilevel"/>
    <w:tmpl w:val="C667FA83"/>
    <w:lvl w:ilvl="0" w:tentative="0">
      <w:start w:val="1"/>
      <w:numFmt w:val="chineseCounting"/>
      <w:suff w:val="nothing"/>
      <w:lvlText w:val="%1、"/>
      <w:lvlJc w:val="left"/>
      <w:pPr>
        <w:ind w:left="-210" w:firstLine="420"/>
      </w:pPr>
      <w:rPr>
        <w:rFonts w:hint="eastAsia"/>
      </w:rPr>
    </w:lvl>
    <w:lvl w:ilvl="1" w:tentative="0">
      <w:start w:val="1"/>
      <w:numFmt w:val="decimal"/>
      <w:suff w:val="nothing"/>
      <w:lvlText w:val="%2．"/>
      <w:lvlJc w:val="left"/>
      <w:pPr>
        <w:ind w:left="-210" w:firstLine="420"/>
      </w:pPr>
      <w:rPr>
        <w:rFonts w:hint="eastAsia"/>
      </w:rPr>
    </w:lvl>
    <w:lvl w:ilvl="2" w:tentative="0">
      <w:start w:val="1"/>
      <w:numFmt w:val="decimal"/>
      <w:suff w:val="nothing"/>
      <w:lvlText w:val="（%3）"/>
      <w:lvlJc w:val="left"/>
      <w:pPr>
        <w:ind w:left="-210" w:firstLine="420"/>
      </w:pPr>
      <w:rPr>
        <w:rFonts w:hint="eastAsia"/>
      </w:rPr>
    </w:lvl>
    <w:lvl w:ilvl="3" w:tentative="0">
      <w:start w:val="1"/>
      <w:numFmt w:val="decimalEnclosedCircleChinese"/>
      <w:suff w:val="nothing"/>
      <w:lvlText w:val="%4"/>
      <w:lvlJc w:val="left"/>
      <w:pPr>
        <w:ind w:left="-210" w:firstLine="420"/>
      </w:pPr>
      <w:rPr>
        <w:rFonts w:hint="eastAsia"/>
      </w:rPr>
    </w:lvl>
    <w:lvl w:ilvl="4" w:tentative="0">
      <w:start w:val="1"/>
      <w:numFmt w:val="decimal"/>
      <w:suff w:val="nothing"/>
      <w:lvlText w:val="%5）"/>
      <w:lvlJc w:val="left"/>
      <w:pPr>
        <w:ind w:left="-210" w:firstLine="420"/>
      </w:pPr>
      <w:rPr>
        <w:rFonts w:hint="eastAsia"/>
      </w:rPr>
    </w:lvl>
    <w:lvl w:ilvl="5" w:tentative="0">
      <w:start w:val="1"/>
      <w:numFmt w:val="lowerLetter"/>
      <w:suff w:val="nothing"/>
      <w:lvlText w:val="%6．"/>
      <w:lvlJc w:val="left"/>
      <w:pPr>
        <w:ind w:left="-210" w:firstLine="420"/>
      </w:pPr>
      <w:rPr>
        <w:rFonts w:hint="eastAsia"/>
      </w:rPr>
    </w:lvl>
    <w:lvl w:ilvl="6" w:tentative="0">
      <w:start w:val="1"/>
      <w:numFmt w:val="lowerLetter"/>
      <w:suff w:val="nothing"/>
      <w:lvlText w:val="%7）"/>
      <w:lvlJc w:val="left"/>
      <w:pPr>
        <w:ind w:left="-210" w:firstLine="420"/>
      </w:pPr>
      <w:rPr>
        <w:rFonts w:hint="eastAsia"/>
      </w:rPr>
    </w:lvl>
    <w:lvl w:ilvl="7" w:tentative="0">
      <w:start w:val="1"/>
      <w:numFmt w:val="lowerRoman"/>
      <w:suff w:val="nothing"/>
      <w:lvlText w:val="%8．"/>
      <w:lvlJc w:val="left"/>
      <w:pPr>
        <w:ind w:left="-210" w:firstLine="420"/>
      </w:pPr>
      <w:rPr>
        <w:rFonts w:hint="eastAsia"/>
      </w:rPr>
    </w:lvl>
    <w:lvl w:ilvl="8" w:tentative="0">
      <w:start w:val="1"/>
      <w:numFmt w:val="lowerRoman"/>
      <w:suff w:val="nothing"/>
      <w:lvlText w:val="%9）"/>
      <w:lvlJc w:val="left"/>
      <w:pPr>
        <w:ind w:left="-210" w:firstLine="420"/>
      </w:pPr>
      <w:rPr>
        <w:rFonts w:hint="eastAsia"/>
      </w:rPr>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3"/>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84AAD0C"/>
    <w:multiLevelType w:val="singleLevel"/>
    <w:tmpl w:val="E84AAD0C"/>
    <w:lvl w:ilvl="0" w:tentative="0">
      <w:start w:val="1"/>
      <w:numFmt w:val="decimal"/>
      <w:suff w:val="space"/>
      <w:lvlText w:val="%1."/>
      <w:lvlJc w:val="left"/>
    </w:lvl>
  </w:abstractNum>
  <w:abstractNum w:abstractNumId="4">
    <w:nsid w:val="3638A934"/>
    <w:multiLevelType w:val="singleLevel"/>
    <w:tmpl w:val="3638A934"/>
    <w:lvl w:ilvl="0" w:tentative="0">
      <w:start w:val="1"/>
      <w:numFmt w:val="decimal"/>
      <w:suff w:val="space"/>
      <w:lvlText w:val="(%1)"/>
      <w:lvlJc w:val="left"/>
    </w:lvl>
  </w:abstractNum>
  <w:abstractNum w:abstractNumId="5">
    <w:nsid w:val="7D271BFC"/>
    <w:multiLevelType w:val="multilevel"/>
    <w:tmpl w:val="7D271BFC"/>
    <w:lvl w:ilvl="0" w:tentative="0">
      <w:start w:val="1"/>
      <w:numFmt w:val="decimal"/>
      <w:pStyle w:val="2"/>
      <w:lvlText w:val="%1"/>
      <w:lvlJc w:val="left"/>
      <w:pPr>
        <w:ind w:left="0" w:firstLine="0"/>
      </w:pPr>
      <w:rPr>
        <w:rFonts w:hint="eastAsia" w:eastAsia="宋体" w:asciiTheme="majorEastAsia" w:hAnsiTheme="majorEastAsia"/>
      </w:rPr>
    </w:lvl>
    <w:lvl w:ilvl="1" w:tentative="0">
      <w:start w:val="1"/>
      <w:numFmt w:val="decimal"/>
      <w:lvlText w:val="%1.%2"/>
      <w:lvlJc w:val="left"/>
      <w:pPr>
        <w:ind w:left="-200" w:firstLine="0"/>
      </w:pPr>
      <w:rPr>
        <w:rFonts w:hint="eastAsia" w:ascii="宋体" w:hAnsi="宋体" w:eastAsia="宋体"/>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eastAsia="宋体" w:asciiTheme="minorEastAsia" w:hAnsiTheme="minorEastAsia"/>
      </w:rPr>
    </w:lvl>
    <w:lvl w:ilvl="5" w:tentative="0">
      <w:start w:val="1"/>
      <w:numFmt w:val="decimal"/>
      <w:lvlText w:val="%1.%2.%3.%4.%5.%6"/>
      <w:lvlJc w:val="left"/>
      <w:pPr>
        <w:ind w:left="0" w:firstLine="0"/>
      </w:pPr>
      <w:rPr>
        <w:rFonts w:hint="eastAsia" w:ascii="宋体" w:hAns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I4NjI5OTBmMDM1ODFlMDkzNDFlZTFiMWNhZWU5ZTMifQ=="/>
    <w:docVar w:name="KSO_WPS_MARK_KEY" w:val="222be758-bda7-44a6-b246-fdfb4510293e"/>
  </w:docVars>
  <w:rsids>
    <w:rsidRoot w:val="008719C1"/>
    <w:rsid w:val="00051814"/>
    <w:rsid w:val="000702A9"/>
    <w:rsid w:val="0007321C"/>
    <w:rsid w:val="00094D1B"/>
    <w:rsid w:val="000C3C4A"/>
    <w:rsid w:val="000E6E8C"/>
    <w:rsid w:val="0011241E"/>
    <w:rsid w:val="00150F44"/>
    <w:rsid w:val="001750BB"/>
    <w:rsid w:val="00242D84"/>
    <w:rsid w:val="00245B36"/>
    <w:rsid w:val="002567D6"/>
    <w:rsid w:val="00291492"/>
    <w:rsid w:val="002B467F"/>
    <w:rsid w:val="002C2650"/>
    <w:rsid w:val="00357C70"/>
    <w:rsid w:val="00375062"/>
    <w:rsid w:val="003F74DC"/>
    <w:rsid w:val="0046212F"/>
    <w:rsid w:val="004B7BAF"/>
    <w:rsid w:val="004E55D6"/>
    <w:rsid w:val="0050144E"/>
    <w:rsid w:val="00535710"/>
    <w:rsid w:val="005462E4"/>
    <w:rsid w:val="005B1EF9"/>
    <w:rsid w:val="00626690"/>
    <w:rsid w:val="006911F9"/>
    <w:rsid w:val="00695339"/>
    <w:rsid w:val="006C654F"/>
    <w:rsid w:val="006E2142"/>
    <w:rsid w:val="00727339"/>
    <w:rsid w:val="00741DEE"/>
    <w:rsid w:val="00754D26"/>
    <w:rsid w:val="007B34D4"/>
    <w:rsid w:val="007C5564"/>
    <w:rsid w:val="007D76F8"/>
    <w:rsid w:val="00834573"/>
    <w:rsid w:val="00844D1D"/>
    <w:rsid w:val="0087053C"/>
    <w:rsid w:val="008719C1"/>
    <w:rsid w:val="008A7277"/>
    <w:rsid w:val="008B0626"/>
    <w:rsid w:val="008D10AC"/>
    <w:rsid w:val="008D7556"/>
    <w:rsid w:val="0096105F"/>
    <w:rsid w:val="009B6095"/>
    <w:rsid w:val="00A15361"/>
    <w:rsid w:val="00A320BB"/>
    <w:rsid w:val="00AF71EC"/>
    <w:rsid w:val="00B750B4"/>
    <w:rsid w:val="00BB6CBE"/>
    <w:rsid w:val="00BC137B"/>
    <w:rsid w:val="00C72ADA"/>
    <w:rsid w:val="00C87311"/>
    <w:rsid w:val="00CB65C8"/>
    <w:rsid w:val="00D213AB"/>
    <w:rsid w:val="00DB2C11"/>
    <w:rsid w:val="00DB4762"/>
    <w:rsid w:val="00E43269"/>
    <w:rsid w:val="00E44010"/>
    <w:rsid w:val="00E74D86"/>
    <w:rsid w:val="014C6B4A"/>
    <w:rsid w:val="01FA47FF"/>
    <w:rsid w:val="023575E5"/>
    <w:rsid w:val="02384D4F"/>
    <w:rsid w:val="02A8425B"/>
    <w:rsid w:val="04E07DC6"/>
    <w:rsid w:val="0503653F"/>
    <w:rsid w:val="05EE6432"/>
    <w:rsid w:val="0687062B"/>
    <w:rsid w:val="07524795"/>
    <w:rsid w:val="089D5EE4"/>
    <w:rsid w:val="09344594"/>
    <w:rsid w:val="093D7C65"/>
    <w:rsid w:val="0A0D7C0C"/>
    <w:rsid w:val="0A252635"/>
    <w:rsid w:val="0A451CC8"/>
    <w:rsid w:val="0A4A6956"/>
    <w:rsid w:val="0CBF0142"/>
    <w:rsid w:val="0CE20369"/>
    <w:rsid w:val="0D156991"/>
    <w:rsid w:val="0DEF271B"/>
    <w:rsid w:val="0DF62107"/>
    <w:rsid w:val="0E010CC3"/>
    <w:rsid w:val="0FA40D33"/>
    <w:rsid w:val="0FC46580"/>
    <w:rsid w:val="10E41578"/>
    <w:rsid w:val="114759AD"/>
    <w:rsid w:val="122D2087"/>
    <w:rsid w:val="12445622"/>
    <w:rsid w:val="12971BF6"/>
    <w:rsid w:val="12A32349"/>
    <w:rsid w:val="12C61DE6"/>
    <w:rsid w:val="13764B0B"/>
    <w:rsid w:val="14D7022E"/>
    <w:rsid w:val="15325D8B"/>
    <w:rsid w:val="15523CE6"/>
    <w:rsid w:val="1574174F"/>
    <w:rsid w:val="158600E7"/>
    <w:rsid w:val="164A15D3"/>
    <w:rsid w:val="167A784B"/>
    <w:rsid w:val="1708410F"/>
    <w:rsid w:val="17757870"/>
    <w:rsid w:val="19CA0387"/>
    <w:rsid w:val="1A22318D"/>
    <w:rsid w:val="1BA43EB2"/>
    <w:rsid w:val="1BCE1E6F"/>
    <w:rsid w:val="1C8C6544"/>
    <w:rsid w:val="1D135704"/>
    <w:rsid w:val="1D3303F2"/>
    <w:rsid w:val="1D4E6BA1"/>
    <w:rsid w:val="1EEE7042"/>
    <w:rsid w:val="1F912988"/>
    <w:rsid w:val="20501FE2"/>
    <w:rsid w:val="20713A86"/>
    <w:rsid w:val="20D56041"/>
    <w:rsid w:val="22634B37"/>
    <w:rsid w:val="22D60519"/>
    <w:rsid w:val="230C7A96"/>
    <w:rsid w:val="23887A65"/>
    <w:rsid w:val="23EA41CD"/>
    <w:rsid w:val="24A95977"/>
    <w:rsid w:val="24DA04C5"/>
    <w:rsid w:val="251867F4"/>
    <w:rsid w:val="255C11BE"/>
    <w:rsid w:val="25A21EB7"/>
    <w:rsid w:val="25D90BC5"/>
    <w:rsid w:val="264E6709"/>
    <w:rsid w:val="268B6BF5"/>
    <w:rsid w:val="27271343"/>
    <w:rsid w:val="28123DA1"/>
    <w:rsid w:val="2824061B"/>
    <w:rsid w:val="283A7430"/>
    <w:rsid w:val="293D0904"/>
    <w:rsid w:val="294F692F"/>
    <w:rsid w:val="2A5F5AD7"/>
    <w:rsid w:val="2A906F48"/>
    <w:rsid w:val="2C185918"/>
    <w:rsid w:val="2C8E3C12"/>
    <w:rsid w:val="2DC21E30"/>
    <w:rsid w:val="2E861936"/>
    <w:rsid w:val="2ECA68A6"/>
    <w:rsid w:val="2EEF03BC"/>
    <w:rsid w:val="2F7075FF"/>
    <w:rsid w:val="2F762ECD"/>
    <w:rsid w:val="2FB65EA5"/>
    <w:rsid w:val="300D5F53"/>
    <w:rsid w:val="30D3190E"/>
    <w:rsid w:val="312A7602"/>
    <w:rsid w:val="31E746EC"/>
    <w:rsid w:val="32081D71"/>
    <w:rsid w:val="32146FC0"/>
    <w:rsid w:val="33644AC5"/>
    <w:rsid w:val="34587820"/>
    <w:rsid w:val="35566808"/>
    <w:rsid w:val="359B252E"/>
    <w:rsid w:val="36070CBD"/>
    <w:rsid w:val="360D204B"/>
    <w:rsid w:val="36B349A1"/>
    <w:rsid w:val="37904CE2"/>
    <w:rsid w:val="39AD0BCC"/>
    <w:rsid w:val="39BA7DF4"/>
    <w:rsid w:val="39C62C3D"/>
    <w:rsid w:val="3A974937"/>
    <w:rsid w:val="3AA552E8"/>
    <w:rsid w:val="3AC709D8"/>
    <w:rsid w:val="3AF03D3D"/>
    <w:rsid w:val="3B5866A5"/>
    <w:rsid w:val="3BEB5355"/>
    <w:rsid w:val="3C17295E"/>
    <w:rsid w:val="3C426303"/>
    <w:rsid w:val="3CAD2B7D"/>
    <w:rsid w:val="3CF32BCF"/>
    <w:rsid w:val="3CF94223"/>
    <w:rsid w:val="3D435C48"/>
    <w:rsid w:val="3E06217E"/>
    <w:rsid w:val="3FA7505A"/>
    <w:rsid w:val="40BC3CD2"/>
    <w:rsid w:val="4105229D"/>
    <w:rsid w:val="41395AA3"/>
    <w:rsid w:val="416C40CA"/>
    <w:rsid w:val="41F00B11"/>
    <w:rsid w:val="41F62B9C"/>
    <w:rsid w:val="42641ED5"/>
    <w:rsid w:val="42652173"/>
    <w:rsid w:val="426D556C"/>
    <w:rsid w:val="43BF6572"/>
    <w:rsid w:val="445552E9"/>
    <w:rsid w:val="45E70F36"/>
    <w:rsid w:val="45E80733"/>
    <w:rsid w:val="4698770F"/>
    <w:rsid w:val="47046B53"/>
    <w:rsid w:val="47727F60"/>
    <w:rsid w:val="492C786D"/>
    <w:rsid w:val="49520049"/>
    <w:rsid w:val="49690EEF"/>
    <w:rsid w:val="498A77E3"/>
    <w:rsid w:val="4A101B76"/>
    <w:rsid w:val="4B0D4E47"/>
    <w:rsid w:val="4C2D4456"/>
    <w:rsid w:val="4C8F5111"/>
    <w:rsid w:val="4C9E060E"/>
    <w:rsid w:val="4CB6269D"/>
    <w:rsid w:val="4D0F2D07"/>
    <w:rsid w:val="4F3568FD"/>
    <w:rsid w:val="507D1E8B"/>
    <w:rsid w:val="50AF14D1"/>
    <w:rsid w:val="50BA7FD4"/>
    <w:rsid w:val="51703467"/>
    <w:rsid w:val="51D40A01"/>
    <w:rsid w:val="521A722A"/>
    <w:rsid w:val="52557CF2"/>
    <w:rsid w:val="52722424"/>
    <w:rsid w:val="52C66A8C"/>
    <w:rsid w:val="52DC0710"/>
    <w:rsid w:val="53642E53"/>
    <w:rsid w:val="543A0058"/>
    <w:rsid w:val="54566453"/>
    <w:rsid w:val="54F95D51"/>
    <w:rsid w:val="553B5659"/>
    <w:rsid w:val="5548377E"/>
    <w:rsid w:val="5579695E"/>
    <w:rsid w:val="56220DA3"/>
    <w:rsid w:val="56F50266"/>
    <w:rsid w:val="571526B6"/>
    <w:rsid w:val="57ED183D"/>
    <w:rsid w:val="57F55EB3"/>
    <w:rsid w:val="588D419D"/>
    <w:rsid w:val="58F307D5"/>
    <w:rsid w:val="592D022A"/>
    <w:rsid w:val="594C028D"/>
    <w:rsid w:val="59B16258"/>
    <w:rsid w:val="59B71EC6"/>
    <w:rsid w:val="5A0768A2"/>
    <w:rsid w:val="5A4C23DB"/>
    <w:rsid w:val="5AC228CE"/>
    <w:rsid w:val="5BD00334"/>
    <w:rsid w:val="5CF709BF"/>
    <w:rsid w:val="5DB03C82"/>
    <w:rsid w:val="5E20787C"/>
    <w:rsid w:val="5EBA2BA1"/>
    <w:rsid w:val="60120C7F"/>
    <w:rsid w:val="6042008A"/>
    <w:rsid w:val="61004E34"/>
    <w:rsid w:val="614C3178"/>
    <w:rsid w:val="61E61434"/>
    <w:rsid w:val="63357754"/>
    <w:rsid w:val="639D7B4D"/>
    <w:rsid w:val="649E018F"/>
    <w:rsid w:val="64CD4F19"/>
    <w:rsid w:val="64D977A3"/>
    <w:rsid w:val="65AF4410"/>
    <w:rsid w:val="66903B07"/>
    <w:rsid w:val="669C2357"/>
    <w:rsid w:val="66D02EB2"/>
    <w:rsid w:val="66E4700F"/>
    <w:rsid w:val="672F7159"/>
    <w:rsid w:val="67DC3307"/>
    <w:rsid w:val="689A52B4"/>
    <w:rsid w:val="68F54CEB"/>
    <w:rsid w:val="695546CB"/>
    <w:rsid w:val="6A720EF8"/>
    <w:rsid w:val="6AEB3A02"/>
    <w:rsid w:val="6BE154A5"/>
    <w:rsid w:val="6D543AE1"/>
    <w:rsid w:val="6FB71363"/>
    <w:rsid w:val="6FC300B2"/>
    <w:rsid w:val="6FD35191"/>
    <w:rsid w:val="70883DE4"/>
    <w:rsid w:val="70AD6730"/>
    <w:rsid w:val="71F26724"/>
    <w:rsid w:val="71F92EA9"/>
    <w:rsid w:val="720D17BF"/>
    <w:rsid w:val="72F97729"/>
    <w:rsid w:val="74F778A6"/>
    <w:rsid w:val="75294EF6"/>
    <w:rsid w:val="755C79D6"/>
    <w:rsid w:val="75726FA5"/>
    <w:rsid w:val="75B73ED4"/>
    <w:rsid w:val="76277C79"/>
    <w:rsid w:val="76C34347"/>
    <w:rsid w:val="772070F2"/>
    <w:rsid w:val="77AE0A69"/>
    <w:rsid w:val="77F9207D"/>
    <w:rsid w:val="78A376CA"/>
    <w:rsid w:val="78A83D40"/>
    <w:rsid w:val="79423801"/>
    <w:rsid w:val="7A044199"/>
    <w:rsid w:val="7B6C2EA0"/>
    <w:rsid w:val="7B7B072C"/>
    <w:rsid w:val="7B7C6C4B"/>
    <w:rsid w:val="7B8C2698"/>
    <w:rsid w:val="7C5449DC"/>
    <w:rsid w:val="7C8A42EC"/>
    <w:rsid w:val="7CD3000F"/>
    <w:rsid w:val="7D0A3BC9"/>
    <w:rsid w:val="7DC469EB"/>
    <w:rsid w:val="7DED391C"/>
    <w:rsid w:val="7EED24D1"/>
    <w:rsid w:val="7F535449"/>
    <w:rsid w:val="AC7C9331"/>
    <w:rsid w:val="AFB534B6"/>
    <w:rsid w:val="B1DEB752"/>
    <w:rsid w:val="EFFE2178"/>
    <w:rsid w:val="F5BF9143"/>
    <w:rsid w:val="FF6C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99" w:semiHidden="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paragraph" w:styleId="4">
    <w:name w:val="heading 3"/>
    <w:basedOn w:val="1"/>
    <w:next w:val="1"/>
    <w:qFormat/>
    <w:uiPriority w:val="9"/>
    <w:pPr>
      <w:outlineLvl w:val="2"/>
    </w:pPr>
    <w:rPr>
      <w:sz w:val="30"/>
    </w:rPr>
  </w:style>
  <w:style w:type="paragraph" w:styleId="5">
    <w:name w:val="heading 4"/>
    <w:basedOn w:val="1"/>
    <w:next w:val="1"/>
    <w:qFormat/>
    <w:uiPriority w:val="99"/>
    <w:pPr>
      <w:keepNext/>
      <w:keepLines/>
      <w:spacing w:before="280" w:after="290" w:line="372" w:lineRule="auto"/>
      <w:outlineLvl w:val="3"/>
    </w:pPr>
    <w:rPr>
      <w:rFonts w:eastAsia="黑体" w:cs="Times New Roman"/>
      <w:b/>
      <w:bCs/>
      <w:sz w:val="28"/>
      <w:szCs w:val="28"/>
    </w:rPr>
  </w:style>
  <w:style w:type="paragraph" w:styleId="6">
    <w:name w:val="heading 9"/>
    <w:basedOn w:val="1"/>
    <w:next w:val="1"/>
    <w:semiHidden/>
    <w:unhideWhenUsed/>
    <w:qFormat/>
    <w:uiPriority w:val="0"/>
    <w:pPr>
      <w:keepNext/>
      <w:keepLines/>
      <w:spacing w:before="240" w:after="64" w:line="317" w:lineRule="auto"/>
      <w:outlineLvl w:val="8"/>
    </w:pPr>
    <w:rPr>
      <w:rFonts w:eastAsia="黑体"/>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9"/>
    <w:qFormat/>
    <w:uiPriority w:val="0"/>
  </w:style>
  <w:style w:type="paragraph" w:styleId="9">
    <w:name w:val="Body Text"/>
    <w:basedOn w:val="1"/>
    <w:next w:val="1"/>
    <w:unhideWhenUsed/>
    <w:qFormat/>
    <w:uiPriority w:val="0"/>
    <w:pPr>
      <w:spacing w:after="120"/>
    </w:pPr>
    <w:rPr>
      <w:rFonts w:ascii="Times New Roman" w:hAnsi="Times New Roman"/>
      <w:sz w:val="20"/>
      <w:szCs w:val="20"/>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8"/>
    <w:next w:val="8"/>
    <w:link w:val="40"/>
    <w:qFormat/>
    <w:uiPriority w:val="0"/>
    <w:rPr>
      <w:b/>
      <w:bCs/>
    </w:rPr>
  </w:style>
  <w:style w:type="table" w:styleId="1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20">
    <w:name w:val="Table Professional"/>
    <w:unhideWhenUsed/>
    <w:qFormat/>
    <w:uiPriority w:val="99"/>
    <w:pPr>
      <w:widowControl w:val="0"/>
      <w:jc w:val="both"/>
    </w:pPr>
    <w:rPr>
      <w:rFonts w:ascii="等线" w:hAnsi="等线" w:eastAsia="等线"/>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table" w:customStyle="1" w:styleId="30">
    <w:name w:val="Table1"/>
    <w:qFormat/>
    <w:uiPriority w:val="0"/>
    <w:rPr>
      <w:rFonts w:cs="Arial"/>
    </w:rPr>
    <w:tblPr>
      <w:tblCellMar>
        <w:top w:w="0" w:type="dxa"/>
        <w:left w:w="0" w:type="dxa"/>
        <w:bottom w:w="0" w:type="dxa"/>
        <w:right w:w="0"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31">
    <w:name w:val="网格型2"/>
    <w:qFormat/>
    <w:uiPriority w:val="39"/>
    <w:rPr>
      <w:rFonts w:ascii="Dutch801 Rm BT" w:hAnsi="Dutch801 Rm BT" w:cs="Dutch801 Rm B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网格型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3">
    <w:name w:val="font51"/>
    <w:basedOn w:val="21"/>
    <w:qFormat/>
    <w:uiPriority w:val="0"/>
    <w:rPr>
      <w:rFonts w:hint="eastAsia" w:ascii="仿宋" w:hAnsi="仿宋" w:eastAsia="仿宋" w:cs="仿宋"/>
      <w:color w:val="000000"/>
      <w:sz w:val="20"/>
      <w:szCs w:val="20"/>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 w:type="character" w:customStyle="1" w:styleId="35">
    <w:name w:val="font71"/>
    <w:basedOn w:val="21"/>
    <w:qFormat/>
    <w:uiPriority w:val="0"/>
    <w:rPr>
      <w:rFonts w:ascii="Calibri" w:hAnsi="Calibri" w:cs="Calibri"/>
      <w:color w:val="000000"/>
      <w:sz w:val="20"/>
      <w:szCs w:val="20"/>
      <w:u w:val="none"/>
    </w:rPr>
  </w:style>
  <w:style w:type="character" w:customStyle="1" w:styleId="36">
    <w:name w:val="font81"/>
    <w:basedOn w:val="21"/>
    <w:qFormat/>
    <w:uiPriority w:val="0"/>
    <w:rPr>
      <w:rFonts w:ascii="Arial" w:hAnsi="Arial" w:cs="Arial"/>
      <w:color w:val="000000"/>
      <w:sz w:val="20"/>
      <w:szCs w:val="20"/>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39">
    <w:name w:val="批注文字 字符"/>
    <w:basedOn w:val="21"/>
    <w:link w:val="8"/>
    <w:qFormat/>
    <w:uiPriority w:val="0"/>
    <w:rPr>
      <w:rFonts w:ascii="Arial" w:hAnsi="Arial" w:eastAsia="Arial" w:cs="Arial"/>
      <w:snapToGrid w:val="0"/>
      <w:color w:val="000000"/>
      <w:sz w:val="21"/>
      <w:szCs w:val="21"/>
    </w:rPr>
  </w:style>
  <w:style w:type="character" w:customStyle="1" w:styleId="40">
    <w:name w:val="批注主题 字符"/>
    <w:basedOn w:val="39"/>
    <w:link w:val="17"/>
    <w:qFormat/>
    <w:uiPriority w:val="0"/>
    <w:rPr>
      <w:rFonts w:ascii="Arial" w:hAnsi="Arial" w:eastAsia="Arial" w:cs="Arial"/>
      <w:b/>
      <w:bCs/>
      <w:snapToGrid w:val="0"/>
      <w:color w:val="000000"/>
      <w:sz w:val="21"/>
      <w:szCs w:val="21"/>
    </w:rPr>
  </w:style>
  <w:style w:type="character" w:customStyle="1" w:styleId="41">
    <w:name w:val="font41"/>
    <w:basedOn w:val="21"/>
    <w:qFormat/>
    <w:uiPriority w:val="0"/>
    <w:rPr>
      <w:rFonts w:hint="eastAsia" w:ascii="仿宋" w:hAnsi="仿宋" w:eastAsia="仿宋" w:cs="仿宋"/>
      <w:color w:val="000000"/>
      <w:sz w:val="20"/>
      <w:szCs w:val="20"/>
      <w:u w:val="none"/>
    </w:rPr>
  </w:style>
  <w:style w:type="paragraph" w:customStyle="1" w:styleId="42">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43">
    <w:name w:val="05、“(一)”正文三级标题"/>
    <w:basedOn w:val="1"/>
    <w:qFormat/>
    <w:uiPriority w:val="0"/>
    <w:pPr>
      <w:numPr>
        <w:ilvl w:val="1"/>
        <w:numId w:val="2"/>
      </w:numPr>
      <w:tabs>
        <w:tab w:val="left" w:pos="0"/>
      </w:tabs>
      <w:wordWrap w:val="0"/>
      <w:topLinePunct/>
      <w:ind w:firstLine="803" w:firstLineChars="200"/>
    </w:pPr>
  </w:style>
  <w:style w:type="paragraph" w:customStyle="1" w:styleId="4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45">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24.xml"/><Relationship Id="rId46" Type="http://schemas.openxmlformats.org/officeDocument/2006/relationships/header" Target="header21.xml"/><Relationship Id="rId45" Type="http://schemas.openxmlformats.org/officeDocument/2006/relationships/footer" Target="footer23.xml"/><Relationship Id="rId44" Type="http://schemas.openxmlformats.org/officeDocument/2006/relationships/header" Target="header20.xml"/><Relationship Id="rId43" Type="http://schemas.openxmlformats.org/officeDocument/2006/relationships/footer" Target="footer22.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footer" Target="footer2.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43351</Words>
  <Characters>45350</Characters>
  <Lines>933</Lines>
  <Paragraphs>262</Paragraphs>
  <TotalTime>18</TotalTime>
  <ScaleCrop>false</ScaleCrop>
  <LinksUpToDate>false</LinksUpToDate>
  <CharactersWithSpaces>47772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2022-07-07T18:11:00Z</dcterms:created>
  <dc:creator>s</dc:creator>
  <cp:lastModifiedBy>Y</cp:lastModifiedBy>
  <dcterms:modified xsi:type="dcterms:W3CDTF">2024-09-03T10:51:32Z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2022-09-01T15:46:13Z</vt:filetime>
  </property>
  <property fmtid="{D5CDD505-2E9C-101B-9397-08002B2CF9AE}" pid="4" name="KSOProductBuildVer">
    <vt:lpwstr>2052-12.1.0.17827</vt:lpwstr>
  </property>
  <property fmtid="{D5CDD505-2E9C-101B-9397-08002B2CF9AE}" pid="5" name="ICV">
    <vt:lpwstr>5C99CF3D97C84FBFAE01E13A411F9C0A_13</vt:lpwstr>
  </property>
</Properties>
</file>